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41481-2024 i Vindelns kommun</w:t>
      </w:r>
    </w:p>
    <w:p>
      <w:r>
        <w:t>Detta dokument behandlar höga naturvärden i avverkningsanmälan A 41481-2024 i Vindelns kommun. Denna avverkningsanmälan inkom 2024-09-25 10:40:44 och omfattar 29,0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tallvägstekel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1481-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7121168, E 705371 i SWEREF 99 TM.</w:t>
      </w:r>
    </w:p>
    <w:p>
      <w:r>
        <w:rPr>
          <w:b/>
        </w:rPr>
        <w:t>Tallvägstekel (NT)</w:t>
      </w:r>
      <w:r>
        <w:t xml:space="preserve"> påträffas framför allt i äldre tallskogar med gläntor och en rik skalbaggsfauna. Troligen förekommer arten också i strandskogar och andra solbelysta skogskanter. Skalbaggsgångar i solexponerad död ved, främst av tall men även andra trädslag, är det viktigaste bosubstratet för arten. I övriga Europa uppges den även använda övergivna murade bon av större bin. Slutavverkning av luckiga skogsbestånd med stående död ved av rätt beskaffenhet samt minskad brandfrekvens innebär sannolikt ett hot genom att bildandet av lämpliga tallbestånd försvåras, det naturliga återskapandet av torrakor och högstubbar avtar och förekomst av glesa skogstyper med gynnsamt lokalklimat minskar. Kända förekomstlokaler bör undantas från skogsbruksåtgärder som innebär kontinuitetsbrott av tillgången på död stående ved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