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35799-2026 i Vindelns kommun</w:t>
      </w:r>
    </w:p>
    <w:p>
      <w:r>
        <w:t>Detta klagomål behandlar höga naturvärden i avverkningsanmälan A 35799-2026 i Vindelns kommun som inkom 2026-08-31 och omfattar 10,0 ha.</w:t>
      </w:r>
    </w:p>
    <w:p>
      <w:pPr>
        <w:pStyle w:val="Caption"/>
      </w:pPr>
      <w:r>
        <w:drawing>
          <wp:inline xmlns:a="http://schemas.openxmlformats.org/drawingml/2006/main" xmlns:pic="http://schemas.openxmlformats.org/drawingml/2006/picture">
            <wp:extent cx="5486400" cy="4526630"/>
            <wp:docPr id="1" name="Picture 1"/>
            <wp:cNvGraphicFramePr>
              <a:graphicFrameLocks noChangeAspect="1"/>
            </wp:cNvGraphicFramePr>
            <a:graphic>
              <a:graphicData uri="http://schemas.openxmlformats.org/drawingml/2006/picture">
                <pic:pic>
                  <pic:nvPicPr>
                    <pic:cNvPr id="0" name="A 35799-2026 karta.png"/>
                    <pic:cNvPicPr/>
                  </pic:nvPicPr>
                  <pic:blipFill>
                    <a:blip r:embed="rId16"/>
                    <a:stretch>
                      <a:fillRect/>
                    </a:stretch>
                  </pic:blipFill>
                  <pic:spPr>
                    <a:xfrm>
                      <a:off x="0" y="0"/>
                      <a:ext cx="5486400" cy="452663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7134836, E 719112 i SWEREF 99 TM.</w:t>
      </w:r>
    </w:p>
    <w:p>
      <w:r>
        <w:t>I och inom 25 meter från avverkningsanmälan finns fynd av 9 naturvårdsarter, varav 4 är rödlistade, 1 är fridlyst, 8 är typiska (T) och 5 är signalarter (S): doftticka (VU, T, §8), garnlav (VU, T), lunglav (NT, T), violettgrå tagellav (NT, T), aspvedgnagare (S), barkticka (S, T), bårdlav (S, T), skinnlav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