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10862-2023 i Vindelns kommun</w:t>
      </w:r>
    </w:p>
    <w:p>
      <w:r>
        <w:t>Denna tillsynsbegäran behandlar höga naturvärden i avverkningsanmälan A 10862-2023 i Vindelns kommun som inkom 2023-03-06 och omfattar 26,0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7155106, E 701809 i SWEREF 99 TM.</w:t>
      </w:r>
    </w:p>
    <w:p>
      <w:r>
        <w:t>I och inom 25 meter från avverkningsanmälan finns fynd av 10 naturvårdsarter, varav 9 är rödlistade, 1 är fridlyst och 5 är typiska (T): goliatmusseron (VU, T), skrovlig taggsvamp (VU), smalfotad taggsvamp (VU), dropptaggsvamp (NT, T), gammelgransskål (NT, T), motaggsvamp (NT, T), nordtagging (NT), skarp dropptaggsvamp (NT), vaddporing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gammelgransskål (NT, T), motaggsvamp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