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739-2026 i Vindelns kommun</w:t>
      </w:r>
    </w:p>
    <w:p>
      <w:r>
        <w:t>Denna tillsynsbegäran behandlar höga naturvärden i avverkningsanmälan A 739-2026 i Vindelns kommun som inkom 2026-01-07 och omfattar 17,6 ha.</w:t>
      </w:r>
    </w:p>
    <w:p>
      <w:pPr>
        <w:pStyle w:val="Caption"/>
      </w:pPr>
      <w:r>
        <w:drawing>
          <wp:inline xmlns:a="http://schemas.openxmlformats.org/drawingml/2006/main" xmlns:pic="http://schemas.openxmlformats.org/drawingml/2006/picture">
            <wp:extent cx="5486400" cy="4764376"/>
            <wp:docPr id="1" name="Picture 1"/>
            <wp:cNvGraphicFramePr>
              <a:graphicFrameLocks noChangeAspect="1"/>
            </wp:cNvGraphicFramePr>
            <a:graphic>
              <a:graphicData uri="http://schemas.openxmlformats.org/drawingml/2006/picture">
                <pic:pic>
                  <pic:nvPicPr>
                    <pic:cNvPr id="0" name="A 739-2026 karta.png"/>
                    <pic:cNvPicPr/>
                  </pic:nvPicPr>
                  <pic:blipFill>
                    <a:blip r:embed="rId16"/>
                    <a:stretch>
                      <a:fillRect/>
                    </a:stretch>
                  </pic:blipFill>
                  <pic:spPr>
                    <a:xfrm>
                      <a:off x="0" y="0"/>
                      <a:ext cx="5486400" cy="4764376"/>
                    </a:xfrm>
                    <a:prstGeom prst="rect"/>
                  </pic:spPr>
                </pic:pic>
              </a:graphicData>
            </a:graphic>
          </wp:inline>
        </w:drawing>
      </w:r>
    </w:p>
    <w:p>
      <w:pPr>
        <w:pStyle w:val="Caption"/>
        <w:spacing w:after="240"/>
      </w:pPr>
      <w:r>
        <w:t>Figur 1. Fyndplatser för naturvårdsarter i och inom 14 meter från avverkningsanmälan. Markörer utan svart kant är placerade på fyndplatsen. Markörer med svart kant är placerade vid sidan av fyndplatsen har ett svart streck som visar fyndplatsens exakta position. Kartans mittpunktskoordinat är N 7169815, E 727038 i SWEREF 99 TM.</w:t>
      </w:r>
    </w:p>
    <w:p>
      <w:r>
        <w:t>I och inom 14 meter från avverkningsanmälan finns fynd av 20 naturvårdsarter, varav 14 är rödlistade, 7 är fridlysta, 12 är typiska (T) och 1 är signalart (S): fläckporing (VU, T), garnlav (VU, T), grönfink (VU, §4), dropptaggsvamp (NT, T), dvärgbägarlav (NT, T), kolflarnlav (NT, T), lavskrika (NT, T, §4), mörk kolflarnlav (NT), nordtagging (NT), talltagel (NT, T), tretåig hackspett (NT, T, §4), vedflamlav (NT), vedskivlav (NT, T), älg (NT), norrlandslav (S, T), kransmossa (T), tofsmes (T, §4), grönsiska (§4), kungsfågel (§4) och huggorm (§6).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begär vidare att Skogsstyrelsen säkerställer att inga skador eller försämringar av naturtypens bevarandestatus i området tillåts ske. Se Rådets direktiv 92/43/EEG samt ickeförsämringskravet i EU:s naturrestaureringsförordning (EU 2024/1991).</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Fläckporing (VU)</w:t>
      </w:r>
      <w:r>
        <w:t xml:space="preserve"> är en mycket bra signalart som visar på tallnaturskogar med höga naturvärden. Den är placerad högst upp i Skogsstyrelsens värdepyramid för bedömning av skog med höga naturvärden och indikerar områden som är mer eller mindre opåverkade av skogsbruk och där det funnits en kontinuitet av tallågor i olika nedbrytningsstadier. För att på lång sikt bibehålla livskraftiga populationer i ett område behövs troligen större skyddade områden som tillåter att man upprätthåller en naturlig branddynamik. Fläckporing är typisk art för </w:t>
      </w:r>
      <w:r>
        <w:rPr>
          <w:i/>
        </w:rPr>
        <w:t>9010 Taiga</w:t>
      </w:r>
      <w:r>
        <w:t xml:space="preserve"> (SLU Artdatabanken, 2024; Nitare &amp; Skogsstyrelsen, 2019).</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Dropptaggsvamp (NT)</w:t>
      </w:r>
      <w:r>
        <w:t xml:space="preserve"> bildar mykorrhiza med tall, främst i barrskog med trädkontinuitet, i magra, torra och ljusöppna lavtallskogar och i barrblandskogar med friskmossor och lingon i fältskiktet. Den totala populationen i landet har minskat och bedöms fortsätta minska till följd av slutavverkningar av tallskog. Det är högst oklart om arten långsiktigt kan etablera och reproducera sig i skogsbestånd som brukas med trakthyggesmetoder, markberedning, gödsling eller föryngring med förädlat plantmaterial. Uppfyller kriterierna för att bli rödlistad på grund av ny kunskap som visar att en större andel av populationen än tidigare bedömt är knuten till kontinuitetsbarrskog. Minskningstakten för den svenska populationen bedöms vara nära gränsvärdet för Sårbar (VU). Dropptaggsvamp är typisk art för </w:t>
      </w:r>
      <w:r>
        <w:rPr>
          <w:i/>
        </w:rPr>
        <w:t xml:space="preserve">9010 Taiga </w:t>
      </w:r>
      <w:r>
        <w:t>(SLU Artdatabanken, 2026).</w:t>
      </w:r>
    </w:p>
    <w:p>
      <w:r>
        <w:rPr>
          <w:b/>
        </w:rPr>
        <w:t>Dvärgbägarlav (NT)</w:t>
      </w:r>
      <w:r>
        <w:t xml:space="preserve"> förekommer över hela Sverige på gammal hård ved, huvudsakligen på tall men i södra Sverige även på ek. Veden utgörs framförallt av grova stubbar, lågor och grenar. Substratet har blivit sällsyntare och nybildning av substrat sker bara i begränsad omfattning. Arten hotas av att grova lågor blir allt sällsyntare i dagens kulturskogar samt att nybildningen av lämpliga substrat går mycket långsamt. En riklig tillgång på gamla tall- eller eklågor måste säkerställas på artens lokaler. Dvärgbägarlav är typisk art för </w:t>
      </w:r>
      <w:r>
        <w:rPr>
          <w:i/>
        </w:rPr>
        <w:t>9010 Taiga</w:t>
      </w:r>
      <w:r>
        <w:t xml:space="preserve"> (SLU Artdatabanken, 2024; Nitare &amp; Skogsstyrelsen, 2019).</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Kolflarnlav är typisk art för </w:t>
      </w:r>
      <w:r>
        <w:rPr>
          <w:i/>
        </w:rPr>
        <w:t>9010 Taiga</w:t>
      </w:r>
      <w:r>
        <w:t xml:space="preserve"> (SLU Artdatabanken, 2024).</w:t>
      </w:r>
    </w:p>
    <w:p>
      <w:r>
        <w:rPr>
          <w:b/>
        </w:rPr>
        <w:t>Lavskrika (NT, §4)</w:t>
      </w:r>
      <w:r>
        <w:t xml:space="preserve"> är rödlistad som nära hotad och fridlyst enligt 4§ artskyddsförordningen. Den har minskat med 20 (10–30) % under de senaste 15 åren och minskningstakten bedöms vara nära gränsvärdet för sårbar (VU). Lavskrikan är en mycket stationär fågel, som häckar i äldre, slutna och hänglavsrika barrskogar. Nyckelfaktorer är flerskiktad skog med rik undervegetation samt riklig förekomst av hänglavar. Reviren är livslånga med hemområden som varierar mellan 50 och 150 ha. Inom ett revir av hög kvalitet finns det som regel ett eller flera kärnområden (1–20 ha) med relativt tät flerskiktad granskog. Arten missgynnas när flerskiktad skog omförs till enskiktade bestånd och även röjning och hård gallring är starkt negativt. Lavskrikan har relativt stora hemområden och försvinner när den äldre skogen fragmenteras, särskilt allvarligt är när kärnområdena avverkas. Den försvinner successivt framför allt vid dess utbredningsgränser och populationen har minskat kontinuerligt under 2000-talet. Lavskrika är typisk art för </w:t>
      </w:r>
      <w:r>
        <w:rPr>
          <w:i/>
        </w:rPr>
        <w:t>9010 Taiga</w:t>
      </w:r>
      <w:r>
        <w:t xml:space="preserve"> (SLU Artdatabanken, 2026; Skogsstyrelsen 2016).</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r>
        <w:rPr>
          <w:b/>
        </w:rPr>
        <w:t>Nordtagging (NT)</w:t>
      </w:r>
      <w:r>
        <w:t xml:space="preserve"> växer främst på tallågor av grövre dimensioner och påträffas huvudsakligen i äldre skog som inte kalavverkats. Nordtaggingen missgynnas av att områden med äldre tallskog har minskat starkt. Bekämpning av skogsbränder, samtidigt som skogsbruket omvandlar naturligt glesa tallbestånd till likartade och betydligt tätare bestånd, har missgynnat arten. Bristen på gamla tallågor utgör på sikt ett allvarligt hot och återskapandet av lämpliga biotoper tar mycket lång tid. Områden med olikåldriga bestånd av tall och med stort inslag av äldre träd bör undantas från skoglig produktion (SLU Artdatabanken, 2024).</w:t>
      </w:r>
    </w:p>
    <w:p>
      <w:r>
        <w:rPr>
          <w:b/>
        </w:rPr>
        <w:t>Talltagel (NT)</w:t>
      </w:r>
      <w:r>
        <w:t xml:space="preserve"> är en boreal art som förekommer på tall i äldre, öppna tallskogar. Den påverkas negativt av brist på kontinuitetsskog och minskningstakten bedöms vara nära gränsvärdet för Sårbar (VU). Talltagel är typisk art för </w:t>
      </w:r>
      <w:r>
        <w:rPr>
          <w:i/>
        </w:rPr>
        <w:t>9010 Taiga</w:t>
      </w:r>
      <w:r>
        <w:t xml:space="preserve"> (SLU Artdatabanken, 2026).</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rPr>
          <w:b/>
        </w:rPr>
        <w:t>Vedflamlav (NT)</w:t>
      </w:r>
      <w:r>
        <w:t xml:space="preserve"> växer på gammal hård och torr, exponerad kärnved av tall, främst på högstubbar i ljusöppna lägen, t.ex. vid och på myrar, sjökanter, i glesa hällmarkskogar och i brandpräglade tallnaturskogar. Substratet nyskapas i begränsad omfattning och arten är en utmärkt indikator på höga naturvärden i denna skogstyp. Tall- och barrblandskogar med naturskogskaraktär och spår av bränder har ofta höga biologiska värden och bör skyddas. På vedflamlavens bål kan den sällsynta spiklaven/parasiten </w:t>
      </w:r>
      <w:r>
        <w:rPr>
          <w:i/>
        </w:rPr>
        <w:t>Calicium ramboldiicola</w:t>
      </w:r>
      <w:r>
        <w:t xml:space="preserve"> (VU) påträffas (SLU Artdatabanken, 2026).</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Vedskivlav är typisk art för </w:t>
      </w:r>
      <w:r>
        <w:rPr>
          <w:i/>
        </w:rPr>
        <w:t>9010 Taiga</w:t>
      </w:r>
      <w:r>
        <w:t xml:space="preserve"> (SLU Artdatabanken, 2024).</w:t>
      </w:r>
    </w:p>
    <w:p>
      <w:r>
        <w:rPr>
          <w:b/>
        </w:rPr>
        <w:t xml:space="preserve">Norrlandslav </w:t>
      </w:r>
      <w:r>
        <w:t xml:space="preserve">indikerar söder om den naturliga norrlandsgränsen barrskogsbeklädda bergbranter eller andra ostörda skogsmiljöer med höga naturvärden. Norrlandslav är typisk art för </w:t>
      </w:r>
      <w:r>
        <w:rPr>
          <w:i/>
        </w:rPr>
        <w:t xml:space="preserve">9010 Taiga, 8110 Silikatrasmarker </w:t>
      </w:r>
      <w:r>
        <w:t>och</w:t>
      </w:r>
      <w:r>
        <w:rPr>
          <w:i/>
        </w:rPr>
        <w:t xml:space="preserve"> 8120 Kalkrasmarker </w:t>
      </w:r>
      <w:r>
        <w:t>(Nitare &amp; Skogsstyrelsen, 2000; SLU Artdatabanken, 2025).</w:t>
      </w:r>
    </w:p>
    <w:p>
      <w:r>
        <w:rPr>
          <w:b/>
        </w:rPr>
        <w:t>Kransmossa</w:t>
      </w:r>
      <w:r>
        <w:t xml:space="preserve"> är typisk art för </w:t>
      </w:r>
      <w:r>
        <w:rPr>
          <w:i/>
        </w:rPr>
        <w:t xml:space="preserve">9050 Näringsrik granskog </w:t>
      </w:r>
      <w:r>
        <w:t xml:space="preserve">och </w:t>
      </w:r>
      <w:r>
        <w:rPr>
          <w:i/>
        </w:rPr>
        <w:t xml:space="preserve">6170 Alpina kalkgräsmarker </w:t>
      </w:r>
      <w:r>
        <w:t>(SLU Artdatabanken, 2025).</w:t>
      </w:r>
    </w:p>
    <w:p>
      <w:r>
        <w:rPr>
          <w:b/>
        </w:rPr>
        <w:t>Tofsmes (§4)</w:t>
      </w:r>
      <w:r>
        <w:t xml:space="preserve"> häckar i barr- och blandskog, främst i tallskog. Tofsmes är typisk art för </w:t>
      </w:r>
      <w:r>
        <w:rPr>
          <w:i/>
        </w:rPr>
        <w:t xml:space="preserve">9010 Taiga </w:t>
      </w:r>
      <w:r>
        <w:t>(SLU Artdatabanken, 2025).</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Typiska arter och EU:s art- och habitatdirektiv</w:t>
      </w:r>
    </w:p>
    <w:p>
      <w:r>
        <w:t>Typiska arter används för att lokalisera områden med gynnsam bevarandestatus för de naturtyper som är listade i EU:s art- och habitatdirektiv. Ett exempel är Västlig taiga (EU-kod 9010) som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w:t>
      </w:r>
    </w:p>
    <w:p>
      <w:r>
        <w:t>Följande typiska arter har sina livsmiljöer och växtplatser i den avverkningsanmälda skogen: fläckporing (VU, T), garnlav (VU, T), dropptaggsvamp (NT, T), dvärgbägarlav (NT, T), kolflarnlav (NT, T), lavskrika (NT, T, §4), talltagel (NT, T), tretåig hackspett (NT, T, §4), vedskivlav (NT, T), norrlandslav (S, T), kransmossa (T) och tofsmes (T, §4).</w:t>
      </w:r>
    </w:p>
    <w:p>
      <w:r>
        <w:t>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r>
        <w:t>Trots detta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w:t>
      </w:r>
      <w:r>
        <w:rPr>
          <w:b/>
        </w:rPr>
        <w:t xml:space="preserve"> </w:t>
      </w:r>
      <w:r>
        <w:t>inte har gynnsam bevarandestatus.</w:t>
      </w:r>
    </w:p>
    <w:p>
      <w:r>
        <w:t>Åtgärder som vidtas i enlighet med art- och habitatdirektivet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w:t>
      </w:r>
    </w:p>
    <w:p>
      <w:r>
        <w:t>EU-direktiv är bindande för EU:s medlemsländer varvid det ankommer på Skogsstyrelsen som nationell tillsynsmyndighet att beakta syftet med EU:s art- och habitatdirektiv vid prövningen av en skogsbruksverksamhet, se Rådets direktiv 92/43/EEG. Se ytterligare information om EU:s livsmiljödirektiv i bilaga 2.</w:t>
      </w:r>
    </w:p>
    <w:p>
      <w:r>
        <w:br w:type="page"/>
      </w:r>
    </w:p>
    <w:p>
      <w:pPr>
        <w:pStyle w:val="Title"/>
      </w:pPr>
      <w:r>
        <w:t>BILAGA 1 – Fridlysta arter</w:t>
      </w:r>
    </w:p>
    <w:p>
      <w:pPr>
        <w:pStyle w:val="Heading1"/>
      </w:pPr>
      <w:r>
        <w:t>Lavskrika – ekologi samt krav på livsmiljön</w:t>
      </w:r>
    </w:p>
    <w:p>
      <w:r>
        <w:t>Lavskrika är rödlistad som nära hotad (NT), fridlyst enligt 4 § artskyddsförordningen (2007:845) och ingår i förteckningen över prioriterade arter i Skogsstyrelsens föreskrifter och allmänna råd (SKSFS 2011:7) bilaga 4. Lavskrikan är en mycket stationär fågel, som häckar i äldre, slutna och hänglavsrika barrskogar. Nyckelfaktorer är flerskiktad skog med rik undervegetation samt riklig förekomst av hänglavar (SLU Artdatabanken, 2026).</w:t>
      </w:r>
    </w:p>
    <w:p>
      <w:r>
        <w:t xml:space="preserve">I Skogsstyrelsens vägledning för hänsyn till fåglar står bland annat att: </w:t>
      </w:r>
      <w:r>
        <w:rPr>
          <w:i/>
        </w:rPr>
        <w:t>“Reviren är livslånga med hemområden som varierar mellan 50 och 150 ha. Hemområdena har inga fasta gränser utan det handlar mera om de yttre gränserna för familjegruppernas rörelser. Lavskrikan undviker att förflytta sig över stora öppna områden och hemområdesstorleken är därför större i områden fragmenterade av hyggen och yngre skog än i områden med i sammanhängande äldre skog. Det finns studier som antyder att det inom ett revir bör finnas maximalt 15 % öppna ytor och ungskog. Inom ett revir av hög kvalitet finns det som regel ett eller flera kärnområden (1–20 ha) med relativt tät flerskiktad granskog.”</w:t>
      </w:r>
      <w:r>
        <w:t xml:space="preserve"> Vidare att: </w:t>
      </w:r>
      <w:r>
        <w:rPr>
          <w:i/>
        </w:rPr>
        <w:t>“Arten missgynnas när flerskiktad skog omförs till enskiktade bestånd. Även skogsskötsel med återkommande röjning och hård gallring är starkt negativt. Lavskrikan har relativt stora hemområden och försvinner när den äldre skogen fragmenteras, särskilt allvarligt är när kärnområdena avverkas.”</w:t>
      </w:r>
      <w:r>
        <w:t xml:space="preserve"> (Skogsstyrelsen 2016).</w:t>
      </w:r>
    </w:p>
    <w:p>
      <w:r>
        <w:t xml:space="preserve">Populationen har minskat med 20 (10–30) % under de senaste 15 åren och minskningstakten bedöms vara nära gränsvärdet för sårbar (VU). Arten försvinner successivt framför allt vid dess utbredningsgränser och populationen har minskat kontinuerligt under 2000-talet. Lavskrika är typisk art för </w:t>
      </w:r>
      <w:r>
        <w:rPr>
          <w:i/>
        </w:rPr>
        <w:t>9010 Taiga</w:t>
      </w:r>
      <w:r>
        <w:t xml:space="preserve"> (SLU Artdatabanken, 2026).</w:t>
      </w:r>
    </w:p>
    <w:p>
      <w:pPr>
        <w:pStyle w:val="Heading2"/>
      </w:pPr>
      <w:r>
        <w:t>Referenser – lavskrika</w:t>
      </w:r>
    </w:p>
    <w:p>
      <w:r>
        <w:t xml:space="preserve">Skogsstyrelsen, 2016. </w:t>
      </w:r>
      <w:r>
        <w:rPr>
          <w:i/>
        </w:rPr>
        <w:t xml:space="preserve">Vägledning för hänsyn till fåglar – lavskrika. </w:t>
      </w:r>
      <w:r>
        <w:t>https://www.skogsstyrelsen.se/globalassets/lag-och-tillsyn/artskydd/vagledningar-for-hansyn-till-faglar/lavskrika-vagledning-hansyn.pdf</w:t>
      </w:r>
    </w:p>
    <w:p>
      <w:r>
        <w:t xml:space="preserve">SLU Artdatabanken, 2026.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p>
      <w:r>
        <w:br w:type="page"/>
      </w:r>
    </w:p>
    <w:p>
      <w:pPr>
        <w:pStyle w:val="Title"/>
      </w:pPr>
      <w:r>
        <w:t>BILAGA 2 – EU:s art- och habitatdirektiv, fågeldirektiv och naturrestaureringsförordning</w:t>
      </w:r>
    </w:p>
    <w:p>
      <w:pPr>
        <w:pStyle w:val="Heading2"/>
      </w:pPr>
      <w:r>
        <w:t>Förenlighet med EU-direktiv</w:t>
      </w:r>
    </w:p>
    <w:p>
      <w:r>
        <w:t>EU-direktiv är bindande för EU:s medlemsländer varvid det ankommer på Skogsstyrelsen som nationell tillsynsmyndighet att beakta syftet med EU:s art- och habitatdirektiv respektive fågeldirektiv vid prövningen av en skogsbruksverksamhet, se Rådets direktiv 92/43/EEG samt 2009/147/EG. Nationella regler som omfattas av ett EU-direktiv ska enligt fast rättspraxis tolkas i enlighet med direktivet, vilket medför en skyldighet för myndigheten att tolka bestämmelser i nationell rätt i ljuset av direktivets ordalydelse, sammanhang och de mål som eftersträvas med direktivet (se EU-domstolens dom i mål C 477/19).</w:t>
      </w:r>
    </w:p>
    <w:p>
      <w:r>
        <w:t>EU:s medlemsstater åläggs i Artikel 3 i fågeldirektivet generella skyldigheter avseende skydd, bevarande och återställande av tillräckligt stora och varierande livsmiljöer för de fågelarter som omfattas av direktivet. Medlemsstaterna ska vidta de åtgärder som är nödvändiga för att bibehålla populationen av fågelarterna på en nivå som svarar särskilt mot ekologiska, vetenskapliga och kulturella behov, eller återupprätta populationen av dessa arter till en sådan nivå (se Europaparlamentets och rådets direktiv 2009/147/EG).</w:t>
      </w:r>
    </w:p>
    <w:p>
      <w:r>
        <w:t>Åtgärder som vidtas i enlighet med art- och habitatdirektivet (92/43/EEG)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 Typiska arter används för att lokalisera områden med gynnsam bevarandestatus för de naturtyper som ingår i EU:s art- och habitatdirektiv.</w:t>
      </w:r>
    </w:p>
    <w:p>
      <w:r>
        <w:t>Västlig taiga (EU-kod 9010)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 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pPr>
        <w:pStyle w:val="Caption"/>
      </w:pPr>
      <w:r>
        <w:drawing>
          <wp:inline xmlns:a="http://schemas.openxmlformats.org/drawingml/2006/main" xmlns:pic="http://schemas.openxmlformats.org/drawingml/2006/picture">
            <wp:extent cx="5486400" cy="2905862"/>
            <wp:docPr id="2" name="Picture 2"/>
            <wp:cNvGraphicFramePr>
              <a:graphicFrameLocks noChangeAspect="1"/>
            </wp:cNvGraphicFramePr>
            <a:graphic>
              <a:graphicData uri="http://schemas.openxmlformats.org/drawingml/2006/picture">
                <pic:pic>
                  <pic:nvPicPr>
                    <pic:cNvPr id="0" name="uppföljning av västlig taiga.jpeg"/>
                    <pic:cNvPicPr/>
                  </pic:nvPicPr>
                  <pic:blipFill>
                    <a:blip r:embed="rId17"/>
                    <a:stretch>
                      <a:fillRect/>
                    </a:stretch>
                  </pic:blipFill>
                  <pic:spPr>
                    <a:xfrm>
                      <a:off x="0" y="0"/>
                      <a:ext cx="5486400" cy="2905862"/>
                    </a:xfrm>
                    <a:prstGeom prst="rect"/>
                  </pic:spPr>
                </pic:pic>
              </a:graphicData>
            </a:graphic>
          </wp:inline>
        </w:drawing>
      </w:r>
    </w:p>
    <w:p>
      <w:pPr>
        <w:pStyle w:val="Caption"/>
      </w:pPr>
      <w:r>
        <w:t>EU:s uppföljning av tillståndet för naturtypen Västlig taiga 9010 i Skandinavien 2013 - 2018. Av kartan framgår det att i den boreala regionen är tillståndet så dåligt (röd färg) att habitatet löper allvarlig risk att försvinna regionalt. Källa: European Environment Agency. https:// eunis.eea.europoa.eu/habitats/10176.</w:t>
      </w:r>
    </w:p>
    <w:p>
      <w:r>
        <w:t>Trots det allvarliga läget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 inte har gynnsam bevarandestatus.</w:t>
      </w:r>
    </w:p>
    <w:p>
      <w:pPr>
        <w:pStyle w:val="Heading2"/>
      </w:pPr>
      <w:r>
        <w:t>EU:s naturrestaureringsförordning</w:t>
      </w:r>
    </w:p>
    <w:p>
      <w:r>
        <w:t>Enligt EU:s naturrestaureringsförordning (EU 2024/1991) ska minst 20 % av landområden och minst 20 % av havsarealen vara restaurerad senast 2030, samt alla ekosystem som är i behov av restaurering senast 2050. Det framgår också av förordningen att det är viktigt att livsmiljötyperna inte försämras innan eller efter att restaureringar genomförts, se exempelvis punkt 37 förordningen.</w:t>
      </w:r>
    </w:p>
    <w:p>
      <w:r>
        <w:t>”</w:t>
      </w:r>
      <w:r>
        <w:rPr>
          <w:i/>
        </w:rPr>
        <w:t>Det är viktigt att medlemsstaterna vidtar åtgärder som syftar till att säkerställa att tillståndet för områden som täcks av livsmiljötyper som omfattas av denna förordning och som omfattas av restaureringsåtgärder uppvisar en kontinuerlig förbättring till dess att de uppnår ett gott tillstånd, och att medlemsstaterna vidtar åtgärder som syftar till att säkerställa att dessa livsmiljötyper, när de har uppnått ett gott tillstånd, inte försämras avsevärt, så att det långsiktiga bibehållandet eller uppnåendet av gott tillstånd inte äventyras. (..) Det är också viktigt att medlemsstaterna anstränger sig för att förhindra avsevärd försämring av områden som täcks av sådana livsmiljötyper som antingen redan är i gott skick eller som inte är i gott skick men ännu inte omfattas av restaureringsåtgärder.”</w:t>
      </w:r>
    </w:p>
    <w:p>
      <w:r>
        <w:rPr>
          <w:b/>
          <w:i/>
        </w:rPr>
        <w:t>Artikel 4(12):</w:t>
      </w:r>
    </w:p>
    <w:p>
      <w:r>
        <w:rPr>
          <w:i/>
        </w:rPr>
        <w:t>Utan att det påverkar tillämpningen av direktiv 92/43/EEG ska medlemsstaterna, senast den dag då deras nationella restaureringsplaner offentliggörs i enlighet med artikel 17.6 i denna förordning, eftersträva att genomföra de åtgärder som krävs för att förhindra avsevärd försämring av områden där de livsmiljötyper som förtecknas i bilaga I till denna förordning förekommer och som är i gott tillstånd eller som krävs för att uppnå de restaureringsmål som anges i punkt 17 i den här artikeln.</w:t>
      </w:r>
    </w:p>
    <w:p>
      <w:r>
        <w:rPr>
          <w:b/>
          <w:i/>
        </w:rPr>
        <w:t>Artikel 4 (17).   Medlemsstaterna ska säkerställa</w:t>
      </w:r>
    </w:p>
    <w:p>
      <w:r>
        <w:rPr>
          <w:i/>
        </w:rPr>
        <w:t>a) en ökning av arealen i gott tillstånd för de livsmiljötyper som förtecknas i bilaga I till dess att minst 90 % är i gott tillstånd och till dess att den gynnsamma referensarealen för varje livsmiljötyp i varje biogeografisk region inom den berörda medlemsstaten har uppnåtts.</w:t>
      </w:r>
    </w:p>
    <w:p>
      <w:r>
        <w:t>Referenser</w:t>
      </w:r>
    </w:p>
    <w:p>
      <w:r>
        <w:t xml:space="preserve">EEA European Environment Agency, 2022. </w:t>
      </w:r>
      <w:r>
        <w:rPr>
          <w:i/>
        </w:rPr>
        <w:t xml:space="preserve">Western taiga – Conservation status 2013-2018. </w:t>
      </w:r>
      <w:r>
        <w:t>https:// eunis.eea.europoa.eu/habitats/10176.</w:t>
      </w:r>
    </w:p>
    <w:p>
      <w:r>
        <w:t>EU-domstolens dom av den 2 juli 2020 i målet C 477/19 (Europeisk hamster) p. 23.</w:t>
      </w:r>
    </w:p>
    <w:p>
      <w:r>
        <w:t>EU-domstolens dom av den 4 mars 2021 i de förenade målen C 473-19 och C 474-19 (Skydda skogen) p. 70 och 76.</w:t>
      </w:r>
    </w:p>
    <w:p>
      <w:r>
        <w:t>Europaparlamentets och rådets direktiv 2009/147/EG av den 30 november 2009 om bevarande av vilda fåglar.</w:t>
      </w:r>
    </w:p>
    <w:p>
      <w:r>
        <w:t>EUROPAPARLAMENTETS OCH RÅDETS FÖRORDNING (EU) 2024/1991 av den 24 juni 2024 om restaurering av natur och om ändring av förordning (EU) 2022/869.</w:t>
      </w:r>
    </w:p>
    <w:p>
      <w:r>
        <w:t>Rådets direktiv 92/43/EEG av den 21 mj 1992 om bevarande av livsmiljöer samt vilda djur och växter.</w:t>
      </w:r>
    </w:p>
    <w:p>
      <w:r>
        <w:t xml:space="preserve">Skogsstyrelsen, 2026. </w:t>
      </w:r>
      <w:r>
        <w:rPr>
          <w:i/>
        </w:rPr>
        <w:t>Biologisk mångfald i skogen.</w:t>
      </w:r>
      <w:r>
        <w:t xml:space="preserve"> Rapport 2026/07.</w:t>
      </w:r>
    </w:p>
    <w:p>
      <w:r>
        <w:t xml:space="preserve">SLU Artdatabanken, 2019. </w:t>
      </w:r>
      <w:r>
        <w:rPr>
          <w:i/>
        </w:rPr>
        <w:t>Sveriges arter och naturtyper i EU:s art- och habitatdirektiv.</w:t>
      </w:r>
      <w:r>
        <w:t xml:space="preserve"> Resultat från rapportering 2019 till EU av bevarandestatus 2013-2018.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2026-08-08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jpe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