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7705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770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7128288, E 706596 i SWEREF 99 TM.</w:t>
      </w:r>
    </w:p>
    <w:p>
      <w:r>
        <w:t>I och inom 25 meter från samrådsanmälan finns fynd av 72 naturvårdsarter, varav 36 är rödlistade, 17 är fridlysta, 42 är typiska (T) och 25 är signalarter (S): doftticka (VU, T, §8), garnlav (VU, T), gräddticka (VU), gränsticka (VU, T), knärot (VU, T, §8), lappticka (VU, T), ulltickeporing (VU), barrpraktbagge (NT), Dropephylla clavigera (NT), dropptaggsvamp (NT, T), gammelgransskål (NT, 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stekelbock (S, T), stor aspticka (S, T), stuplav (S, T), större aspvedbock (S), thomsons trägnagare (S), trådticka (S, T), vedticka (S, T), vågbandad barkbock (S), järpe (T, §4), spillkråka (T, §4), tallbit (T, §4), tofsmes (T, §4), kungsfågel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19 fyndplatser för knärot registrerade på Artportalen. Figur 2 visar gränserna för buffertzoner på 50 m, som behöver lämnas kring fyndplatserna för att knärotslokalerna inte ska försvinna vid en avverkning. Av det samrådsanmälda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