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35963-2025 i Vindelns kommun</w:t>
      </w:r>
    </w:p>
    <w:p>
      <w:r>
        <w:t>Detta klagomål behandlar höga naturvärden i avverkningsanmälan A 35963-2025 i Vindelns kommun som inkom 2025-07-25 och omfattar 13,4 ha.</w:t>
      </w:r>
    </w:p>
    <w:p>
      <w:pPr>
        <w:pStyle w:val="Caption"/>
      </w:pPr>
      <w:r>
        <w:drawing>
          <wp:inline xmlns:a="http://schemas.openxmlformats.org/drawingml/2006/main" xmlns:pic="http://schemas.openxmlformats.org/drawingml/2006/picture">
            <wp:extent cx="5486400" cy="5437815"/>
            <wp:docPr id="1" name="Picture 1"/>
            <wp:cNvGraphicFramePr>
              <a:graphicFrameLocks noChangeAspect="1"/>
            </wp:cNvGraphicFramePr>
            <a:graphic>
              <a:graphicData uri="http://schemas.openxmlformats.org/drawingml/2006/picture">
                <pic:pic>
                  <pic:nvPicPr>
                    <pic:cNvPr id="0" name="A 35963-2025 karta.png"/>
                    <pic:cNvPicPr/>
                  </pic:nvPicPr>
                  <pic:blipFill>
                    <a:blip r:embed="rId16"/>
                    <a:stretch>
                      <a:fillRect/>
                    </a:stretch>
                  </pic:blipFill>
                  <pic:spPr>
                    <a:xfrm>
                      <a:off x="0" y="0"/>
                      <a:ext cx="5486400" cy="5437815"/>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7154635, E 741955 i SWEREF 99 TM.</w:t>
      </w:r>
    </w:p>
    <w:p>
      <w:r>
        <w:t>I och inom 7 meter från avverkningsanmälan finns fynd av 12 naturvårdsarter, varav 11 är rödlistade, 2 är fridlysta, 7 är typiska (T) och 1 är signalart (S): garnlav (VU, T), smalfotad taggsvamp (VU), dropptaggsvamp (NT, T), kolflarnlav (NT, T), mörk kolflarnlav (NT), oljetagging (NT), skarp dropptaggsvamp (NT), talltita (NT, §4), tretåig hackspett (NT, T, §4), vedskivlav (NT, T), violettgrå tagellav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Oljetagging (NT)</w:t>
      </w:r>
      <w:r>
        <w:t xml:space="preserve"> är en nedbrytare på grova liggande stammar av asp, sällsynt andra lövträd. Påträffas framförallt i fuktiga lägen i löv- och blandskog, t ex äldre bondeskogar men också i naturskogsartad barrskog med aspinslag. Arten påverkas negativt av brist på död ved och den totala populationen i landet bedöms fortfarande minska fortlöpande, framförallt på grund av att äldre aspbestånd i sluten, fuktig miljö slutavverkas eller gallras i en snabbare takt än vad lämpliga miljöer nybildas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