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32223-2024 i Vindelns kommun</w:t>
      </w:r>
    </w:p>
    <w:p>
      <w:r>
        <w:t>Denna tillsynsbegäran behandlar höga naturvärden i avverkningsanmälan A 32223-2024 i Vindelns kommun som inkom 2024-08-07 och omfattar 15,9 ha.</w:t>
      </w:r>
    </w:p>
    <w:p>
      <w:pPr>
        <w:pStyle w:val="Caption"/>
      </w:pPr>
      <w:r>
        <w:drawing>
          <wp:inline xmlns:a="http://schemas.openxmlformats.org/drawingml/2006/main" xmlns:pic="http://schemas.openxmlformats.org/drawingml/2006/picture">
            <wp:extent cx="5463050" cy="5724000"/>
            <wp:docPr id="1" name="Picture 1"/>
            <wp:cNvGraphicFramePr>
              <a:graphicFrameLocks noChangeAspect="1"/>
            </wp:cNvGraphicFramePr>
            <a:graphic>
              <a:graphicData uri="http://schemas.openxmlformats.org/drawingml/2006/picture">
                <pic:pic>
                  <pic:nvPicPr>
                    <pic:cNvPr id="0" name="A 32223-2024 karta.png"/>
                    <pic:cNvPicPr/>
                  </pic:nvPicPr>
                  <pic:blipFill>
                    <a:blip r:embed="rId16"/>
                    <a:stretch>
                      <a:fillRect/>
                    </a:stretch>
                  </pic:blipFill>
                  <pic:spPr>
                    <a:xfrm>
                      <a:off x="0" y="0"/>
                      <a:ext cx="546305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7154971, E 701455 i SWEREF 99 TM.</w:t>
      </w:r>
    </w:p>
    <w:p>
      <w:r>
        <w:t>I avverkningsanmälan finns fynd av 9 naturvårdsarter, varav 7 är rödlistade, 1 är fridlyst, 5 är typiska (T) och 2 är signalarter (S): garnlav (VU, T), skrovlig taggsvamp (VU), smalfotad taggsvamp (VU), blå taggsvamp (NT, T), dropptaggsvamp (NT, T), skarp dropptaggsvamp (NT), svartvit taggsvamp (NT), plattlummer (S, T, §9)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dropptaggsvamp (NT, T), plattlummer (S, T, §9)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