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61824-2022 i Vindelns kommun</w:t>
      </w:r>
    </w:p>
    <w:p>
      <w:r>
        <w:t>Denna tillsynsbegäran behandlar höga naturvärden i avverkningsanmälan A 61824-2022 i Vindelns kommun som inkom 2022-12-22 och omfattar 4,1 ha.</w:t>
      </w:r>
    </w:p>
    <w:p>
      <w:pPr>
        <w:pStyle w:val="Caption"/>
      </w:pPr>
      <w:r>
        <w:drawing>
          <wp:inline xmlns:a="http://schemas.openxmlformats.org/drawingml/2006/main" xmlns:pic="http://schemas.openxmlformats.org/drawingml/2006/picture">
            <wp:extent cx="5082755" cy="5724000"/>
            <wp:docPr id="1" name="Picture 1"/>
            <wp:cNvGraphicFramePr>
              <a:graphicFrameLocks noChangeAspect="1"/>
            </wp:cNvGraphicFramePr>
            <a:graphic>
              <a:graphicData uri="http://schemas.openxmlformats.org/drawingml/2006/picture">
                <pic:pic>
                  <pic:nvPicPr>
                    <pic:cNvPr id="0" name="A 61824-2022 karta.png"/>
                    <pic:cNvPicPr/>
                  </pic:nvPicPr>
                  <pic:blipFill>
                    <a:blip r:embed="rId16"/>
                    <a:stretch>
                      <a:fillRect/>
                    </a:stretch>
                  </pic:blipFill>
                  <pic:spPr>
                    <a:xfrm>
                      <a:off x="0" y="0"/>
                      <a:ext cx="5082755"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7154659, E 700640 i SWEREF 99 TM.</w:t>
      </w:r>
    </w:p>
    <w:p>
      <w:r>
        <w:t>I och inom 18 meter från avverkningsanmälan finns fynd av 5 naturvårdsarter, varav 3 är rödlistade, 3 är typiska (T) och 2 är signalarter (S): tallgråticka (VU), orange taggsvamp (NT, T), talltaggsvamp (NT), mindre märgborre (S, T) och nästlav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Tallgråticka (VU)</w:t>
      </w:r>
      <w:r>
        <w:t xml:space="preserve"> bildar mykorrhiza med tall och växer främst i ljusöppna skogar på torr, sandig/grusig mark. Den är placerad högst upp i Skogsstyrelsens värdepyramid för bedömning av skog med höga naturvärden och indikerar skyddsvärda tallnaturskogar på sand där det funnits ett ständigt inslag av äldre träd. Tallgråticka är globalt rödlistad som nära hotad (NT) vilket innebär att Sverige har ett internationellt ansvar för arten (SLU Artdatabanken, 2024; Nitare &amp; Skogsstyrelsen, 2019; IUCN, 2020).</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Talltaggsvamp (NT) </w:t>
      </w:r>
      <w:r>
        <w:t>förekommer främst i tallnaturskogar eller tallskogar av kontinuitetsskogskaraktär där den bildar mykorrhiza med tall. Särskilt frekvent är den i sandtallskogar med inslag av gamla träd, t.ex. på grusåsar, stränder och sandhedar. Arten hotas främst av skogsavverkning och tycks försvinna efter slutavverkning, markberedning och plantering. Talltaggsvamp är globalt rödlistad som nära hotad (NT) vilket innebär att Sverige har ett internationellt ansvar för arten (IUCN, 2025;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