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1158-2026 i Vindelns kommun</w:t>
      </w:r>
    </w:p>
    <w:p>
      <w:r>
        <w:t>Denna tillsynsbegäran behandlar höga naturvärden i samrådsanmälan S 1158-2026 i Vindelns kommun som inkom 2026-04-22 och omfattar 13,3 ha.</w:t>
      </w:r>
    </w:p>
    <w:p>
      <w:pPr>
        <w:pStyle w:val="Caption"/>
      </w:pPr>
      <w:r>
        <w:drawing>
          <wp:inline xmlns:a="http://schemas.openxmlformats.org/drawingml/2006/main" xmlns:pic="http://schemas.openxmlformats.org/drawingml/2006/picture">
            <wp:extent cx="4544265" cy="5724000"/>
            <wp:docPr id="1" name="Picture 1"/>
            <wp:cNvGraphicFramePr>
              <a:graphicFrameLocks noChangeAspect="1"/>
            </wp:cNvGraphicFramePr>
            <a:graphic>
              <a:graphicData uri="http://schemas.openxmlformats.org/drawingml/2006/picture">
                <pic:pic>
                  <pic:nvPicPr>
                    <pic:cNvPr id="0" name="S 1158-2026 karta.png"/>
                    <pic:cNvPicPr/>
                  </pic:nvPicPr>
                  <pic:blipFill>
                    <a:blip r:embed="rId16"/>
                    <a:stretch>
                      <a:fillRect/>
                    </a:stretch>
                  </pic:blipFill>
                  <pic:spPr>
                    <a:xfrm>
                      <a:off x="0" y="0"/>
                      <a:ext cx="454426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7128288, E 706596 i SWEREF 99 TM.</w:t>
      </w:r>
    </w:p>
    <w:p>
      <w:r>
        <w:t>I och inom 25 meter från samrådsanmälan finns fynd av 79 naturvårdsarter, varav 38 är rödlistade, 20 är fridlysta, 46 är typiska (T) och 26 är signalarter (S): doftticka (VU, T, §8), garnlav (VU, T), gräddticka (VU), gränsticka (VU, T), knärot (VU, T, §8), lappticka (VU, T), ulltickeporing (VU), barrpraktbagge (NT), Dropephylla clavigera (NT), dropptaggsvamp (NT, T), gammelgransskål (NT, T), grå blåbärsfältmätare (NT), grönhjon (NT), kolflarnlav (NT, T), koralltaggsvamp (NT, T), kortskaftad ärgspik (NT), kötticka (NT), lavskrika (NT, T, §4), lunglav (NT, T), mindre träfjäril (NT), mörk kolflarnlav (NT), Olisthaerus substriatus (NT), reliktbock (NT, T), rosenticka (NT, T), rynkskinn (NT, T), småflikig brosklav (NT, T), stiftgelélav (NT, T), sälggetingbock (NT), tallfingersvamp (NT), talltagel (NT, T), tallticka (NT, T), talltita (NT, §4), tretåig hackspett (NT, T, §4), ullticka (NT, T), vedflikmossa (NT), vedskivlav (NT, T), violettgrå tagellav (NT, T), äggvaxskivling (NT), aspvedgnagare (S), barkticka (S, T), björksplintborre (S), bollvitmossa (S, T), bronshjon (S, T), bårdlav (S, T), dvärgtufs (S), gytterlav (S, T), jättesvampmal (S), korallblylav (S, T), luddlav (S, T), myskbock (S), norrlandslav (S, T), nästlav (S, T), plattlummer (S, T, §9), robust tickgnagare (S), skinnlav (S, T), spindelblomster (S, T, §8), stekelbock (S, T), stor aspticka (S, T), stuplav (S, T), större aspvedbock (S), thomsons trägnagare (S), trådticka (S, T), vedticka (S, T), vågbandad barkbock (S), hultbräken (T), järpe (T, §4), klotstarr (T), spillkråka (T, §4), tallbit (T, §4), tofsmes (T, §4), videsparv (T, §4), kungsfågel (§4), orre (§4), åkergroda (§4a), skogsödla (§6), vanlig padda (§6),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22 fyndplatser för knärot registrerade på Artportalen. Figur 2 visar gränserna för buffertzoner på 50 m, som behöver lämnas kring fyndplatserna för att knärotslokalerna inte ska försvinna vid en avverkning. Av det samrådsanmälda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8187397"/>
            <wp:docPr id="2" name="Picture 2"/>
            <wp:cNvGraphicFramePr>
              <a:graphicFrameLocks noChangeAspect="1"/>
            </wp:cNvGraphicFramePr>
            <a:graphic>
              <a:graphicData uri="http://schemas.openxmlformats.org/drawingml/2006/picture">
                <pic:pic>
                  <pic:nvPicPr>
                    <pic:cNvPr id="0" name="S 1158-2026 karta knärot.png"/>
                    <pic:cNvPicPr/>
                  </pic:nvPicPr>
                  <pic:blipFill>
                    <a:blip r:embed="rId17"/>
                    <a:stretch>
                      <a:fillRect/>
                    </a:stretch>
                  </pic:blipFill>
                  <pic:spPr>
                    <a:xfrm>
                      <a:off x="0" y="0"/>
                      <a:ext cx="5486400" cy="818739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7128288, E 706596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i/>
        </w:rPr>
        <w:t xml:space="preserve">Dropephylla clavigera </w:t>
      </w:r>
      <w:r>
        <w:rPr>
          <w:b/>
        </w:rPr>
        <w:t xml:space="preserve">(NT) </w:t>
      </w:r>
      <w:r>
        <w:t xml:space="preserve">är en kortvinge vars larvutveckling förmodligen är knuten till tickor (t.ex. </w:t>
      </w:r>
      <w:r>
        <w:rPr>
          <w:i/>
        </w:rPr>
        <w:t>Antrodia</w:t>
      </w:r>
      <w:r>
        <w:t xml:space="preserve"> spp.) på döda träd, främst tall men även gran och lövträd såsom björk, asp och ek. Många fynd är gjorda i naturskogsliknande bestånd med stor mängd död ved, ett flertal i brandskadad skog. Störst hot är slutavverkning av framför allt tallskog men även bortgallring av lövträd i naturskogsbestånd kan vara en negativ faktor. Arten behöver kontinuerlig tillgång till död ved. Bevara tall- och tallblandskogar med rikligt med död ved i Norrland och norra Svealand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Sälggetingbock (NT) </w:t>
      </w:r>
      <w:r>
        <w:t>är en långhorning vars larvutveckling sker i ved av levande men oftast skadade eller försvagade, solexponerade grenar och stamdelar (2–15 cm diameter) av sälg. Spara alltid gamla sälgar i solbelysta lägen. Vid rutinmässiga maskinröjningar av buskar och småträd längs vägar bör man visa stor hänsyn till gamla solexponerade sälgar (SLU Artdatabanken, 2025).</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Tofsmes (§4)</w:t>
      </w:r>
      <w:r>
        <w:t xml:space="preserve"> häckar i barr- och blandskog, främst i tallskog. Tofsmes är typisk art för </w:t>
      </w:r>
      <w:r>
        <w:rPr>
          <w:i/>
        </w:rPr>
        <w:t xml:space="preserve">9010 Taiga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gränsticka (VU, T), knärot (VU, T, §8), lappticka (VU, T), dropptaggsvamp (NT, T), gammelgransskål (NT, T), kolflarnlav (NT, T), koralltaggsvamp (NT, T), lavskrika (NT, T, §4), lunglav (NT, T), reliktbock (NT, T), rosenticka (NT, T), rynkskinn (NT, T), småflikig brosklav (NT, T), stiftgelélav (NT, T), talltagel (NT, T), tallticka (NT, T), tretåig hackspett (NT, T, §4), ullticka (NT, T), vedskivlav (NT, T), violettgrå tagellav (NT, T), barkticka (S, T), bollvitmossa (S, T), bronshjon (S, T), bårdlav (S, T), gytterlav (S, T), korallblylav (S, T), luddlav (S, T), norrlandslav (S, T), nästlav (S, T), plattlummer (S, T, §9), skinnlav (S, T), spindelblomster (S, T, §8), stekelbock (S, T), stor aspticka (S, T), stuplav (S, T), trådticka (S, T), vedticka (S, T), hultbräken (T), järpe (T, §4), klotstarr (T), spillkråka (T, §4), tallbit (T, §4), tofsmes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