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8741-2020 i Vindelns kommun</w:t>
      </w:r>
    </w:p>
    <w:p>
      <w:r>
        <w:t>Detta dokument behandlar höga naturvärden i avverkningsanmälan A 8741-2020 i Vindelns kommun. Denna avverkningsanmälan inkom 2020-02-17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Corticaria interstitialis (NT), granbarkmögelbagge (NT), Scaphisoma subalpinum (NT) och Dorcatoma dresdensis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8741-2020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7113739, E 724348 i SWEREF 99 TM.</w:t>
      </w:r>
    </w:p>
    <w:p>
      <w:r>
        <w:rPr>
          <w:b/>
          <w:i/>
        </w:rPr>
        <w:t>Corticaria interstitialis</w:t>
      </w:r>
      <w:r>
        <w:rPr>
          <w:b/>
        </w:rPr>
        <w:t xml:space="preserve"> (NT)</w:t>
      </w:r>
      <w:r>
        <w:t xml:space="preserve"> är en skogslevande mögelbagge som framförallt hittas i lövrika naturskogar i Norrlands inland. Arten påträffas under bark, i mycelrik ved och på vedsvampar på döda träd, främst asp och björk, och ibland även i förna. Genom artens anknytning till mer naturlig lövrik skog så hotas den av skogsbruk. Fler naturskogsområden behöver skyddas (SLU Artdatabanken, 2024).</w:t>
      </w:r>
    </w:p>
    <w:p>
      <w:r>
        <w:rPr>
          <w:b/>
        </w:rPr>
        <w:t>Granbarkmögelbagge (NT)</w:t>
      </w:r>
      <w:r>
        <w:t xml:space="preserve"> är en skalbagge vars larvutveckling sker under svampig bark på gran, oftast grova lågor och stubbar eller vid basen av levande, grovbarkiga träd, helst i slutna bestånd. Arten hotas av minskande mängd naturskog, fler grannaturskogar behöver skyddas (SLU Artdatabanken, 2024).</w:t>
      </w:r>
    </w:p>
    <w:p>
      <w:r>
        <w:rPr>
          <w:b/>
          <w:i/>
        </w:rPr>
        <w:t xml:space="preserve">Scaphisoma subalpinum </w:t>
      </w:r>
      <w:r>
        <w:rPr>
          <w:b/>
        </w:rPr>
        <w:t>(NT)</w:t>
      </w:r>
      <w:r>
        <w:t xml:space="preserve"> är en kortvinge som främst påträffas i lövrika naturskogsmiljöer med mycket fnösktickor. Arten främst är knuten till naturskogsbestånd med ett kontinuerligt inslag av död ved från grövre lövträd och rik tillgång på trädsvampar. De främsta hoten är avverkning bestånd av denna typ och bortforsling av död ved. I första hand behöver skogsbestånd med grövre lövträd och tillgång på död ved bevaras. Det är viktigt att det finns en kontinuerlig tillgång på död svampbeväxt ved. I parker är det viktigt att död ved får vara kvar inom området så att svampar kan utvecklas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