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457-2025 i Robertsfors kommun</w:t>
      </w:r>
    </w:p>
    <w:p>
      <w:r>
        <w:t>Denna tillsynsbegäran behandlar höga naturvärden i samrådsanmälan S 457-2025 i Robertsfors kommun som inkom 2025-02-13 och omfattar 140,5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S 457-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7125476, E 774179 i SWEREF 99 TM.</w:t>
      </w:r>
    </w:p>
    <w:p>
      <w:r>
        <w:t>I och inom 24 meter från samrådsanmälan finns fynd av 14 naturvårdsarter, varav 4 är rödlistade, 9 är fridlysta, 9 är typiska (T) och 4 är signalarter (S): lunglav (NT, T), motaggsvamp (NT, T), talltita (NT, §4), vedskivlav (NT, T), nästlav (S, T), plattlummer (S, T, §9), spindelblomster (S, T, §8), ögonpyrola (S, T), järpe (T, §4), spillkråka (T, §4), orre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motaggsvamp (NT, T), vedskivlav (NT, T), nästlav (S, T), plattlummer (S, T, §9), spindelblomster (S, T, §8), ögonpyrola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