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58854-2024 i Robertsfors kommun</w:t>
      </w:r>
    </w:p>
    <w:p>
      <w:r>
        <w:t>Detta dokument behandlar höga naturvärden i avverkningsanmälan A 58854-2024 i Robertsfors kommun. Denna avverkningsanmälan inkom 2024-12-10 09:23:07 och omfattar 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kristallticka (VU), rynkskinn (VU), ulltickeporing (VU), granticka (NT), mindre hackspett (NT, §4), rosenticka (NT), skorpgrynna (NT), spillkråka (NT, §4), stjärntagging (NT), talltita (NT, §4), ullticka (NT), vedticka (S), vanlig groda (§6), vanlig padda (§6)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58854-2024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7146535, E 786924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Skorpgrynna (NT)</w:t>
      </w:r>
      <w:r>
        <w:t xml:space="preserve"> är knuten till granlågor i rikare skogar, ofta äldre bestånd. Fortgående minskning i kombination med att antalet reproduktiva individer är lågt gör att arten rödlistas som Nära hotad (NT). (C2a(i)). Arten hotas av intensivt skogsbruk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mindre hackspett (NT, §4), spillkråka (NT, §4), talltita (NT, §4), vanlig groda (§6), vanlig padda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7425779"/>
            <wp:docPr id="2" name="Picture 2"/>
            <wp:cNvGraphicFramePr>
              <a:graphicFrameLocks noChangeAspect="1"/>
            </wp:cNvGraphicFramePr>
            <a:graphic>
              <a:graphicData uri="http://schemas.openxmlformats.org/drawingml/2006/picture">
                <pic:pic>
                  <pic:nvPicPr>
                    <pic:cNvPr id="0" name="A 58854-2024 karta knärot.png"/>
                    <pic:cNvPicPr/>
                  </pic:nvPicPr>
                  <pic:blipFill>
                    <a:blip r:embed="rId17"/>
                    <a:stretch>
                      <a:fillRect/>
                    </a:stretch>
                  </pic:blipFill>
                  <pic:spPr>
                    <a:xfrm>
                      <a:off x="0" y="0"/>
                      <a:ext cx="5486400" cy="742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7146535, E 786924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