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58854-2024 i Robertsfors kommun</w:t>
      </w:r>
    </w:p>
    <w:p>
      <w:r>
        <w:t>Detta dokument behandlar höga naturvärden i avverkningsanmälan A 58854-2024 i Robertsfors kommun. Denna avverkningsanmälan inkom 2024-12-10 09:23:07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knärot (VU, §8), kristallticka (VU), rynkskinn (VU), ulltickeporing (VU), granticka (NT), mindre hackspett (NT, §4), rosenticka (NT), skorpgrynna (NT), spillkråka (NT, §4), stjärntagging (NT), talltita (NT, §4), ullticka (NT), vedticka (S), vanlig groda (§6), vanlig padda (§6) och fläcknycklar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6786"/>
            <wp:docPr id="1" name="Picture 1"/>
            <wp:cNvGraphicFramePr>
              <a:graphicFrameLocks noChangeAspect="1"/>
            </wp:cNvGraphicFramePr>
            <a:graphic>
              <a:graphicData uri="http://schemas.openxmlformats.org/drawingml/2006/picture">
                <pic:pic>
                  <pic:nvPicPr>
                    <pic:cNvPr id="0" name="A 58854-2024 karta.png"/>
                    <pic:cNvPicPr/>
                  </pic:nvPicPr>
                  <pic:blipFill>
                    <a:blip r:embed="rId16"/>
                    <a:stretch>
                      <a:fillRect/>
                    </a:stretch>
                  </pic:blipFill>
                  <pic:spPr>
                    <a:xfrm>
                      <a:off x="0" y="0"/>
                      <a:ext cx="5486400" cy="5716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7146535, E 786924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Kristallticka (VU)</w:t>
      </w:r>
      <w:r>
        <w:t xml:space="preserve"> är en mycket krävande art som växer i urskogsartade barrnaturskogar där det finns rikligt med grov död ved i olika nedbrytningsstadier. Den är placerad högst upp i Skogsstyrelsens värdepyramid för bedömning av skog med höga naturvärden och är en av våra främsta naturvärdesindikatorer på skyddsvärda barrnaturskogar. Alla skogsskötselåtgärder på eller i omedelbar närhet av lokalerna påverkar arten negativt liksom den minskande andelen död ved i kulturskogarna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Skorpgrynna (NT)</w:t>
      </w:r>
      <w:r>
        <w:t xml:space="preserve"> är knuten till granlågor i rikare skogar, ofta äldre bestånd. Fortgående minskning i kombination med att antalet reproduktiva individer är lågt gör att arten rödlistas som Nära hotad (NT). (C2a(i)). Arten hotas av intensivt skogsbruk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mindre hackspett (NT, §4), spillkråka (NT, §4), talltita (NT, §4), vanlig groda (§6), vanlig padda (§6)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1.74 ha med buffertzonerna och får av detta skäl inte avverkas.</w:t>
      </w:r>
    </w:p>
    <w:p>
      <w:pPr>
        <w:pStyle w:val="Caption"/>
      </w:pPr>
      <w:r>
        <w:drawing>
          <wp:inline xmlns:a="http://schemas.openxmlformats.org/drawingml/2006/main" xmlns:pic="http://schemas.openxmlformats.org/drawingml/2006/picture">
            <wp:extent cx="5486400" cy="7425779"/>
            <wp:docPr id="2" name="Picture 2"/>
            <wp:cNvGraphicFramePr>
              <a:graphicFrameLocks noChangeAspect="1"/>
            </wp:cNvGraphicFramePr>
            <a:graphic>
              <a:graphicData uri="http://schemas.openxmlformats.org/drawingml/2006/picture">
                <pic:pic>
                  <pic:nvPicPr>
                    <pic:cNvPr id="0" name="A 58854-2024 karta knärot.png"/>
                    <pic:cNvPicPr/>
                  </pic:nvPicPr>
                  <pic:blipFill>
                    <a:blip r:embed="rId17"/>
                    <a:stretch>
                      <a:fillRect/>
                    </a:stretch>
                  </pic:blipFill>
                  <pic:spPr>
                    <a:xfrm>
                      <a:off x="0" y="0"/>
                      <a:ext cx="5486400" cy="74257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7146535, E 786924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