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samrådsanmälan S 457-2025 i Robertsfors kommun</w:t>
      </w:r>
    </w:p>
    <w:p>
      <w:r>
        <w:t>Denna tillsynsbegäran behandlar höga naturvärden i samrådsanmälan S 457-2025 i Robertsfors kommun som inkom 2025-02-13 och omfattar 140,5 ha.</w:t>
      </w:r>
    </w:p>
    <w:p>
      <w:pPr>
        <w:pStyle w:val="Caption"/>
      </w:pPr>
      <w:r>
        <w:drawing>
          <wp:inline xmlns:a="http://schemas.openxmlformats.org/drawingml/2006/main" xmlns:pic="http://schemas.openxmlformats.org/drawingml/2006/picture">
            <wp:extent cx="5486400" cy="5179086"/>
            <wp:docPr id="1" name="Picture 1"/>
            <wp:cNvGraphicFramePr>
              <a:graphicFrameLocks noChangeAspect="1"/>
            </wp:cNvGraphicFramePr>
            <a:graphic>
              <a:graphicData uri="http://schemas.openxmlformats.org/drawingml/2006/picture">
                <pic:pic>
                  <pic:nvPicPr>
                    <pic:cNvPr id="0" name="S 457-2025 karta.png"/>
                    <pic:cNvPicPr/>
                  </pic:nvPicPr>
                  <pic:blipFill>
                    <a:blip r:embed="rId16"/>
                    <a:stretch>
                      <a:fillRect/>
                    </a:stretch>
                  </pic:blipFill>
                  <pic:spPr>
                    <a:xfrm>
                      <a:off x="0" y="0"/>
                      <a:ext cx="5486400" cy="5179086"/>
                    </a:xfrm>
                    <a:prstGeom prst="rect"/>
                  </pic:spPr>
                </pic:pic>
              </a:graphicData>
            </a:graphic>
          </wp:inline>
        </w:drawing>
      </w:r>
    </w:p>
    <w:p>
      <w:pPr>
        <w:pStyle w:val="Caption"/>
        <w:spacing w:after="240"/>
      </w:pPr>
      <w:r>
        <w:t>Figur 1. Fyndplatser för naturvårdsarter i och inom 24 meter från samrådsanmälan. Markörer utan svart kant är placerade på fyndplatsen. Markörer med svart kant är placerade vid sidan av fyndplatsen och har ett svart streck som visar fyndplatsens exakta position. Kartans mittpunktskoordinat är N 7125476, E 774179 i SWEREF 99 TM.</w:t>
      </w:r>
    </w:p>
    <w:p>
      <w:r>
        <w:t>I och inom 24 meter från samrådsanmälan finns fynd av 14 naturvårdsarter, varav 4 är rödlistade, 9 är fridlysta, 9 är typiska (T) och 4 är signalarter (S): lunglav (NT, T), motaggsvamp (NT, T), talltita (NT, §4), vedskivlav (NT, T), nästlav (S, T), plattlummer (S, T, §9), spindelblomster (S, T, §8), ögonpyrola (S, T), järpe (T, §4), spillkråka (T, §4), orre (§4), vanlig groda (§6), fläcknycklar (§8)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samrådsanmälan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samrådsanmälda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Nästlav</w:t>
      </w:r>
      <w:r>
        <w:t xml:space="preserve"> indikerar söder om den naturliga norrlandsgränsen äldre barrskogsområden med höga naturvärden där andra ovanliga nordliga barrskogsarter kan påträffas. Nästlav är typisk art för </w:t>
      </w:r>
      <w:r>
        <w:rPr>
          <w:i/>
        </w:rPr>
        <w:t xml:space="preserve">9010 Taiga </w:t>
      </w:r>
      <w:r>
        <w:t>(Nitare &amp; Skogsstyrelsen, 2019; SLU Artdatabanken, 2025).</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(EN, §8) och mellanlummer (NT, §9), vilka båda omfattas av EU:s art- och habitatdirektiv. Plattlummer är typisk art för </w:t>
      </w:r>
      <w:r>
        <w:rPr>
          <w:i/>
        </w:rPr>
        <w:t xml:space="preserve">9010 Taiga </w:t>
      </w:r>
      <w:r>
        <w:t>och</w:t>
      </w:r>
      <w:r>
        <w:rPr>
          <w:i/>
        </w:rPr>
        <w:t xml:space="preserve"> 2320 Rissandhedar </w:t>
      </w:r>
      <w:r>
        <w:t>(Nitare &amp; Skogsstyrelsen, 2019; SLU Artdatabanken, 2026).</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rPr>
          <w:b/>
        </w:rPr>
        <w:t xml:space="preserve">Ögonpyrola </w:t>
      </w:r>
      <w:r>
        <w:t xml:space="preserve">är normalt en bra signalart som visar på områden med höga naturvärden och stabila förhållanden, särskilt inom näringsfattiga trakter. Växten är mycket känslig för markskador och försvinner snabbt efter slutavverkning. Den hotas också av skogsgödsling och markavvattning. Ögonpyrola är typisk art för </w:t>
      </w:r>
      <w:r>
        <w:rPr>
          <w:i/>
        </w:rPr>
        <w:t>9010 Taiga</w:t>
      </w:r>
      <w:r>
        <w:t xml:space="preserve"> och</w:t>
      </w:r>
      <w:r>
        <w:rPr>
          <w:i/>
        </w:rPr>
        <w:t xml:space="preserve"> 9070 Trädklädd betesmark</w:t>
      </w:r>
      <w:r>
        <w:t xml:space="preserve"> (Nitare &amp; Skogsstyrelsen, 2019; SLU Artdatabanken, 2024).</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samrådsanmälda skogen: lunglav (NT, T), motaggsvamp (NT, T), vedskivlav (NT, T), nästlav (S, T), plattlummer (S, T, §9), spindelblomster (S, T, §8), ögonpyrola (S, T), järpe (T, §4)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