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13769-2026 i Robertsfors kommun</w:t>
      </w:r>
    </w:p>
    <w:p>
      <w:r>
        <w:t>Detta klagomål behandlar höga naturvärden i avverkningsanmälan A 13769-2026 i Robertsfors kommun som inkom 2026-03-16 och omfattar 8,5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13769-2026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7135240, E 760197 i SWEREF 99 TM.</w:t>
      </w:r>
    </w:p>
    <w:p>
      <w:r>
        <w:t>I och inom 10 meter från avverkningsanmälan finns fynd av 16 naturvårdsarter, varav 13 är rödlistade, 3 är fridlysta, 11 är typiska (T) och 2 är signalarter (S): garnlav (VU, T), gräddporing (VU, T), smalfotad taggsvamp (VU), dropptaggsvamp (NT, T), kolflarnlav (NT, T), motaggsvamp (NT, T), nordtagging (NT), orange taggsvamp (NT, T), skarp dropptaggsvamp (NT), talltita (NT, §4), tretåig hackspett (NT, T, §4), vaddporing (NT), violettgrå tagellav (NT, T), grovticka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