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41767-2023 i Robertsfors kommun</w:t>
      </w:r>
    </w:p>
    <w:p>
      <w:r>
        <w:t>Denna tillsynsbegäran behandlar höga naturvärden i avverkningsanmälan A 41767-2023 i Robertsfors kommun som inkom 2023-09-07 och omfattar 0,8 ha.</w:t>
      </w:r>
    </w:p>
    <w:p>
      <w:pPr>
        <w:pStyle w:val="Caption"/>
      </w:pPr>
      <w:r>
        <w:drawing>
          <wp:inline xmlns:a="http://schemas.openxmlformats.org/drawingml/2006/main" xmlns:pic="http://schemas.openxmlformats.org/drawingml/2006/picture">
            <wp:extent cx="5486400" cy="4692663"/>
            <wp:docPr id="1" name="Picture 1"/>
            <wp:cNvGraphicFramePr>
              <a:graphicFrameLocks noChangeAspect="1"/>
            </wp:cNvGraphicFramePr>
            <a:graphic>
              <a:graphicData uri="http://schemas.openxmlformats.org/drawingml/2006/picture">
                <pic:pic>
                  <pic:nvPicPr>
                    <pic:cNvPr id="0" name="A 41767-2023 karta.png"/>
                    <pic:cNvPicPr/>
                  </pic:nvPicPr>
                  <pic:blipFill>
                    <a:blip r:embed="rId16"/>
                    <a:stretch>
                      <a:fillRect/>
                    </a:stretch>
                  </pic:blipFill>
                  <pic:spPr>
                    <a:xfrm>
                      <a:off x="0" y="0"/>
                      <a:ext cx="5486400" cy="4692663"/>
                    </a:xfrm>
                    <a:prstGeom prst="rect"/>
                  </pic:spPr>
                </pic:pic>
              </a:graphicData>
            </a:graphic>
          </wp:inline>
        </w:drawing>
      </w:r>
    </w:p>
    <w:p>
      <w:pPr>
        <w:pStyle w:val="Caption"/>
        <w:spacing w:after="240"/>
      </w:pPr>
      <w:r>
        <w:t>Figur 1. Fyndplatser för naturvårdsarter inom 13 meter från avverkningsanmälan. Markörer utan svart kant är placerade på fyndplatsen. Markörer med svart kant är placerade vid sidan av fyndplatsen och har ett svart streck som visar fyndplatsens exakta position. Kartans mittpunktskoordinat är N 7098970, E 779807 i SWEREF 99 TM.</w:t>
      </w:r>
    </w:p>
    <w:p>
      <w:r>
        <w:t>Inom 13 meter från avverkningsanmälan finns fynd av 1 naturvårdsarter, varav 1 är rödlistad och 1 är fridlyst: nordfladdermus (NT, §4a).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Nordfladdermus (NT, §4a)</w:t>
      </w:r>
      <w:r>
        <w:t xml:space="preserve"> omfattas av bilaga 4 EU:s art- och habitatdirektiv vilket innebär ett strikt skydd där arten och dess livsmiljöer ska bevaras. 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Nordfladdermus har minskat med 27,5 (5–50) % under de senaste 21 åren och minskningstakten för den svenska populationen bedöms vara nära gränsvärdet för Sårbar (VU). (A2bc) (SLU Artdatabanken, 2024; Skogsstyrelsen, 2016).</w:t>
      </w:r>
    </w:p>
    <w:p>
      <w:r>
        <w:br w:type="page"/>
      </w:r>
    </w:p>
    <w:p>
      <w:pPr>
        <w:pStyle w:val="Title"/>
      </w:pPr>
      <w:r>
        <w:t>BILAGA 1 – Fridlysta arter</w:t>
      </w:r>
    </w:p>
    <w:p>
      <w:pPr>
        <w:pStyle w:val="Heading1"/>
      </w:pPr>
      <w:r>
        <w:t>Nordfladdermus – ekologi samt krav på livsmiljön</w:t>
      </w:r>
    </w:p>
    <w:p>
      <w:r>
        <w:t>Nordfladdermus (NT, §4a) omfattas av bilaga 4 EU:s art- och habitatdirektiv vilket innebär ett strikt skydd för arten och dess livsmiljöer. Arten har minskat med 27,5 (5–50) % under de senaste 21 åren och minskningstakten för den svenska populationen bedöms vara nära gränsvärdet för Sårbar (VU). (A2bc) (SLU Artdatabanken, 2024).</w:t>
      </w:r>
    </w:p>
    <w:p>
      <w:r>
        <w:t>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nordfladdermus</w:t>
      </w:r>
    </w:p>
    <w:p>
      <w:r>
        <w:t xml:space="preserve">Skogsstyrelsen, 2016. </w:t>
      </w:r>
      <w:r>
        <w:rPr>
          <w:i/>
        </w:rPr>
        <w:t xml:space="preserve">Vägledning för hänsyn till nordfladdermus. </w:t>
      </w:r>
      <w:r>
        <w:t>Vägledningar och kunskapsstöd artskydd - Skogsstyrelsen</w:t>
      </w:r>
    </w:p>
    <w:p>
      <w:r>
        <w:t>SLU Artdatabanken, 2024.</w:t>
      </w:r>
      <w:r>
        <w:rPr>
          <w:i/>
        </w:rPr>
        <w:t xml:space="preserve">  Artfakta: nordfladdermus (Eptesicus nilssonii). </w:t>
      </w:r>
      <w:r>
        <w:t>https://artfakta.se/taxa/205998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