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17 meter från avverkningsanmälan finns fynd av 16 naturvårdsarter, varav 13 är rödlistade, 3 är fridlysta, 9 är typiska (T) och 3 är signalarter (S): garnlav (VU, T), smalfotad taggsvamp (VU), spökfransskivling (VU), torrmusseron (VU), blanksvart spiklav (NT), blå taggsvamp (NT, T), kolflarnlav (NT, T), lunglav (NT, T), tallfingersvamp (NT), tallriska (NT),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