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29274-2026 i Norsjö kommun</w:t>
      </w:r>
    </w:p>
    <w:p>
      <w:r>
        <w:t>Detta klagomål behandlar höga naturvärden i avverkningsanmälan A 29274-2026 i Norsjö kommun som inkom 2026-06-29 och omfattar 10,2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29274-2026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7220755, E 709558 i SWEREF 99 TM.</w:t>
      </w:r>
    </w:p>
    <w:p>
      <w:r>
        <w:t>I och inom 6 meter från avverkningsanmälan finns fynd av 16 naturvårdsarter, varav 6 är rödlistade, 3 är fridlysta, 13 är typiska (T) och 5 är signalarter (S): garnlav (VU, T), knärot (VU, T, §8), dropptaggsvamp (NT, T), kryddspindling (NT, T), tretåig hackspett (NT, T, §4), äggvaxskivling (NT), gräsull (S), spindelblomster (S, T, §8), stuplav (S, T), svavelriska (S), tibast (S, T), bergsslok (T), brudborste (T), kransmossa (T), kärrfibbla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5.52 ha med buffertzonerna och får av detta skäl inte avverkas.</w:t>
      </w:r>
    </w:p>
    <w:p>
      <w:pPr>
        <w:pStyle w:val="Caption"/>
      </w:pPr>
      <w:r>
        <w:drawing>
          <wp:inline xmlns:a="http://schemas.openxmlformats.org/drawingml/2006/main" xmlns:pic="http://schemas.openxmlformats.org/drawingml/2006/picture">
            <wp:extent cx="5486400" cy="5558044"/>
            <wp:docPr id="2" name="Picture 2"/>
            <wp:cNvGraphicFramePr>
              <a:graphicFrameLocks noChangeAspect="1"/>
            </wp:cNvGraphicFramePr>
            <a:graphic>
              <a:graphicData uri="http://schemas.openxmlformats.org/drawingml/2006/picture">
                <pic:pic>
                  <pic:nvPicPr>
                    <pic:cNvPr id="0" name="A 29274-2026 karta knärot.png"/>
                    <pic:cNvPicPr/>
                  </pic:nvPicPr>
                  <pic:blipFill>
                    <a:blip r:embed="rId17"/>
                    <a:stretch>
                      <a:fillRect/>
                    </a:stretch>
                  </pic:blipFill>
                  <pic:spPr>
                    <a:xfrm>
                      <a:off x="0" y="0"/>
                      <a:ext cx="5486400" cy="55580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7220755, E 709558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Bergsslok </w:t>
      </w:r>
      <w:r>
        <w:t xml:space="preserve">är typisk art för </w:t>
      </w:r>
      <w:r>
        <w:rPr>
          <w:i/>
        </w:rPr>
        <w:t>9190 Näringsfattig ekskog</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