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33030-2025 i Norsjö kommun</w:t>
      </w:r>
    </w:p>
    <w:p>
      <w:r>
        <w:t>Detta klagomål behandlar höga naturvärden i avverkningsanmälan A 33030-2025 i Norsjö kommun som inkom 2025-07-02 och omfattar 24,2 ha.</w:t>
      </w:r>
    </w:p>
    <w:p>
      <w:pPr>
        <w:pStyle w:val="Caption"/>
      </w:pPr>
      <w:r>
        <w:drawing>
          <wp:inline xmlns:a="http://schemas.openxmlformats.org/drawingml/2006/main" xmlns:pic="http://schemas.openxmlformats.org/drawingml/2006/picture">
            <wp:extent cx="4660560" cy="5724000"/>
            <wp:docPr id="1" name="Picture 1"/>
            <wp:cNvGraphicFramePr>
              <a:graphicFrameLocks noChangeAspect="1"/>
            </wp:cNvGraphicFramePr>
            <a:graphic>
              <a:graphicData uri="http://schemas.openxmlformats.org/drawingml/2006/picture">
                <pic:pic>
                  <pic:nvPicPr>
                    <pic:cNvPr id="0" name="A 33030-2025 karta.png"/>
                    <pic:cNvPicPr/>
                  </pic:nvPicPr>
                  <pic:blipFill>
                    <a:blip r:embed="rId16"/>
                    <a:stretch>
                      <a:fillRect/>
                    </a:stretch>
                  </pic:blipFill>
                  <pic:spPr>
                    <a:xfrm>
                      <a:off x="0" y="0"/>
                      <a:ext cx="466056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7216162, E 723398 i SWEREF 99 TM.</w:t>
      </w:r>
    </w:p>
    <w:p>
      <w:r>
        <w:t>I och inom 23 meter från avverkningsanmälan finns fynd av 36 naturvårdsarter, varav 29 är rödlistade, 8 är fridlysta, 21 är typiska (T) och 4 är signalarter (S): Phellodon resupinatus (EN), fläckporing (VU, T), garnlav (VU, T), knärot (VU, T, §8), lammticka (VU), smalfotad taggsvamp (VU), torrmusseron (VU), ulltickeporing (VU), blanksvart spiklav (NT), blå taggsvamp (NT, T), dropptaggsvamp (NT, T), dvärgbägarlav (NT, T), gammelgransskål (NT, T), kolflarnlav (NT, T), lavskrika (NT, T, §4), lunglav (NT, T), mörk kolflarnlav (NT), nordtagging (NT), orange taggsvamp (NT, T), skarp dropptaggsvamp (NT), svartvit taggsvamp (NT), tallfingersvamp (NT), talltagel (NT, T), talltita (NT, §4), tretåig hackspett (NT, T, §4), ullticka (NT, T), vaddporing (NT), vaxspindling (NT), vedskivlav (NT, T), luddlav (S, T), mindre märgborre (S, T), spindelblomster (S, T, §8), ögonpyrola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5535419"/>
            <wp:docPr id="2" name="Picture 2"/>
            <wp:cNvGraphicFramePr>
              <a:graphicFrameLocks noChangeAspect="1"/>
            </wp:cNvGraphicFramePr>
            <a:graphic>
              <a:graphicData uri="http://schemas.openxmlformats.org/drawingml/2006/picture">
                <pic:pic>
                  <pic:nvPicPr>
                    <pic:cNvPr id="0" name="A 33030-2025 karta knärot.png"/>
                    <pic:cNvPicPr/>
                  </pic:nvPicPr>
                  <pic:blipFill>
                    <a:blip r:embed="rId17"/>
                    <a:stretch>
                      <a:fillRect/>
                    </a:stretch>
                  </pic:blipFill>
                  <pic:spPr>
                    <a:xfrm>
                      <a:off x="0" y="0"/>
                      <a:ext cx="5486400" cy="55354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7216162, E 723398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