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10274-2024 i Norsjö kommun</w:t>
      </w:r>
    </w:p>
    <w:p>
      <w:r>
        <w:t>Detta dokument behandlar höga naturvärden i avverkningsanmälan A 10274-2024 i Norsjö kommun. Denna avverkningsanmälan inkom 2024-03-14 och omfattar 7,1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17 naturvårdsarter hittats: urskogsporing (EN), gräddporing (VU), blanksvart spiklav (NT), blå taggsvamp (NT), blågrå svartspik (NT), garnlav (NT), kortskaftad ärgspik (NT), orange taggsvamp (NT), skrovlig flatbagge (NT), tallriska (NT), tallticka (NT), vedflamlav (NT), vedskivlav (NT), vitplätt (NT), dropptaggsvamp (S), skarp dropptaggsvamp (S) och tallfingersvamp (S). Av dessa är 14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54964"/>
            <wp:docPr id="1" name="Picture 1"/>
            <wp:cNvGraphicFramePr>
              <a:graphicFrameLocks noChangeAspect="1"/>
            </wp:cNvGraphicFramePr>
            <a:graphic>
              <a:graphicData uri="http://schemas.openxmlformats.org/drawingml/2006/picture">
                <pic:pic>
                  <pic:nvPicPr>
                    <pic:cNvPr id="0" name="A 10274-2024 karta.png"/>
                    <pic:cNvPicPr/>
                  </pic:nvPicPr>
                  <pic:blipFill>
                    <a:blip r:embed="rId16"/>
                    <a:stretch>
                      <a:fillRect/>
                    </a:stretch>
                  </pic:blipFill>
                  <pic:spPr>
                    <a:xfrm>
                      <a:off x="0" y="0"/>
                      <a:ext cx="5486400" cy="37549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7217901, E 728061 i SWEREF 99 TM.</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 xml:space="preserve">Blå taggsvamp (NT) </w:t>
      </w:r>
      <w:r>
        <w:t>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(SLU Artdatabanken, 2024; Nitare &amp; Skogsstyrelsen, 2019).</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 xml:space="preserve">Orange taggsvamp (NT) </w:t>
      </w:r>
      <w:r>
        <w:t>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(SLU Artdatabanken, 2024).</w:t>
      </w:r>
    </w:p>
    <w:p>
      <w:r>
        <w:rPr>
          <w:b/>
        </w:rPr>
        <w:t xml:space="preserve">Skrovlig flatbagge (NT) </w:t>
      </w:r>
      <w:r>
        <w:t>är en skalbagge vars larvutveckling sker i mycelrik ved nära fruktkroppar av timmerticka eller citronticka i lågor av barrträd, främst tall, men även gran. Fullbildade skalbaggar påträffas i eller utanpå stammen vid näringsgnag på de vitaktiga, resupinata fruktkropparna. Arten missgynnas framförallt av att skogen blir tätare på grund av skogsskötsel och av att såväl återkommande bränder som skogsbete upphört. I naturligt öppnare miljöer hotas arten av vedtäkt och annat tillvaratagande av tallvirke. Naturligt brunnen tallskog i eller nära lokaler med arten bör skyddas. I skogsbruket bör mer naturvårdsträd av tall och vindfällen lämnas i fred. Detta är särskilt viktigt i kantzoner mot mer öppen mark tex. invid hällmarksimpediment. Skrovlig flatbagge</w:t>
      </w:r>
      <w:r>
        <w:rPr>
          <w:b/>
        </w:rPr>
        <w:t xml:space="preserve"> </w:t>
      </w:r>
      <w:r>
        <w:t>ingår i ett åtgärdsprogram för hotade arter (ÅGP) (SLU Artdatabanken, 2024; Wikars, 2014).</w:t>
      </w:r>
    </w:p>
    <w:p>
      <w:r>
        <w:rPr>
          <w:b/>
        </w:rPr>
        <w:t xml:space="preserve">Tallfingersvamp </w:t>
      </w:r>
      <w:r>
        <w:t>bildar mykorrhiza med tall och gran i barrskog, framför allt sandtallskog men även i annan näringsfattig barrskog. Arten är en av landets vanligaste korallfingersvampar i äldre barrskog. Trots detta är den troligen minskande då den i huvudsak är knuten till äldre skog, främst kontinuitetsbarrskogar. Slutavverkning, gödsling eller exploatering måste undvikas (SLU Artdatabanken, 2024).</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r>
        <w:rPr>
          <w:b/>
        </w:rPr>
        <w:t>Urskogsporing (EN)</w:t>
      </w:r>
      <w:r>
        <w:t xml:space="preserve"> är en starkt hotad art som växer på lågor av barrträd, företrädesvis tall, mer sällan gran. Den är hittills bara påträffad i äldre skogsbestånd med tydlig naturskogskaraktär. Urskogsporingen är förmodligen gynnad av brand och den typ av ved som arten växer på nyskapas knappast alls i modernt skogsbruk. Kända lokaler måste skyddas och undantas från skogsbruk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17 naturvårdsarter varav 14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