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40718-2025 i Norsjö kommun</w:t>
      </w:r>
    </w:p>
    <w:p>
      <w:r>
        <w:t>Denna tillsynsbegäran behandlar höga naturvärden i avverkningsanmälan A 40718-2025 i Norsjö kommun som inkom 2025-08-28 och omfattar 3,3 ha.</w:t>
      </w:r>
    </w:p>
    <w:p>
      <w:pPr>
        <w:pStyle w:val="Caption"/>
      </w:pPr>
      <w:r>
        <w:drawing>
          <wp:inline xmlns:a="http://schemas.openxmlformats.org/drawingml/2006/main" xmlns:pic="http://schemas.openxmlformats.org/drawingml/2006/picture">
            <wp:extent cx="4709023" cy="5724000"/>
            <wp:docPr id="1" name="Picture 1"/>
            <wp:cNvGraphicFramePr>
              <a:graphicFrameLocks noChangeAspect="1"/>
            </wp:cNvGraphicFramePr>
            <a:graphic>
              <a:graphicData uri="http://schemas.openxmlformats.org/drawingml/2006/picture">
                <pic:pic>
                  <pic:nvPicPr>
                    <pic:cNvPr id="0" name="A 40718-2025 karta.png"/>
                    <pic:cNvPicPr/>
                  </pic:nvPicPr>
                  <pic:blipFill>
                    <a:blip r:embed="rId16"/>
                    <a:stretch>
                      <a:fillRect/>
                    </a:stretch>
                  </pic:blipFill>
                  <pic:spPr>
                    <a:xfrm>
                      <a:off x="0" y="0"/>
                      <a:ext cx="470902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7218493, E 729713 i SWEREF 99 TM.</w:t>
      </w:r>
    </w:p>
    <w:p>
      <w:r>
        <w:t>I avverkningsanmälan finns fynd av 10 naturvårdsarter, varav 5 är rödlistade, 4 är fridlysta, 9 är typiska (T) och 3 är signalarter (S): garnlav (VU, T), gammelgransskål (NT, T), rosenticka (NT, T), tretåig hackspett (NT, T, §4), ullticka (NT, T), bårdlav (S, T), plattlummer (S, T, §9), stuplav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rosenticka (NT, T), tretåig hackspett (NT, T, §4), ullticka (NT, T), bårdlav (S, T), plattlummer (S, T, §9),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