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4008-2025 i Norsjö kommun</w:t>
      </w:r>
    </w:p>
    <w:p>
      <w:r>
        <w:t>Detta dokument behandlar höga naturvärden i avverkningsanmälan A 4008-2025 i Norsjö kommun. Denna avverkningsanmälan inkom 2025-01-27 och omfattar 16,4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blå taggsvamp (NT), motaggsvamp (NT), svart taggsvamp (NT), dropptaggsvamp (S), skarp dropptaggsvamp (S) och lavskrika (§4).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55396"/>
            <wp:docPr id="1" name="Picture 1"/>
            <wp:cNvGraphicFramePr>
              <a:graphicFrameLocks noChangeAspect="1"/>
            </wp:cNvGraphicFramePr>
            <a:graphic>
              <a:graphicData uri="http://schemas.openxmlformats.org/drawingml/2006/picture">
                <pic:pic>
                  <pic:nvPicPr>
                    <pic:cNvPr id="0" name="A 4008-2025 karta.png"/>
                    <pic:cNvPicPr/>
                  </pic:nvPicPr>
                  <pic:blipFill>
                    <a:blip r:embed="rId16"/>
                    <a:stretch>
                      <a:fillRect/>
                    </a:stretch>
                  </pic:blipFill>
                  <pic:spPr>
                    <a:xfrm>
                      <a:off x="0" y="0"/>
                      <a:ext cx="5486400" cy="48553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7227275, E 712893 i SWEREF 99 TM.</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r>
        <w:rPr>
          <w:b/>
        </w:rPr>
        <w:t xml:space="preserve">Svart taggsvamp (NT) </w:t>
      </w:r>
      <w:r>
        <w:t>bildar huvudsakligen mykorrhiza med gran och tall, men även med ek och bok. Slutavverkning utgör det största hotet mot arten och den överlever sannolikt inte en föryngringshuggning då barrträdens rötter dör efter avverkningen. Förekomsterna i barrskog är särskilt utsatta eftersom arten föredrar att växa i äldre, virkesrika skogar med högre bonitet, som avverkas i rask takt. Fler äldre, virkesrika barrskogar med högre bonitet måste formellt skyddas som biotopskyddsområden eller naturreservat. Även oskyddade växtplatser i lövskogsbiotoper bör få ett starkt skydd. Skogsområden med svart taggsvamp bör inte gallras eller plockhuggas om inte huggningen efterföljs av skogsbete (SLU Artdatabanken, 2024).</w:t>
      </w:r>
    </w:p>
    <w:p>
      <w:pPr>
        <w:pStyle w:val="Heading1"/>
      </w:pPr>
      <w:r>
        <w:t>Fridlysta arter</w:t>
      </w:r>
    </w:p>
    <w:p>
      <w:r>
        <w:t>Följande fridlysta arter har sina livsmiljöer och växtplatser i den avverkningsanmälda skogen: lavskrika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