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dokument behandlar höga naturvärden i avverkningsanmälan A 50208-2023 i Storumans kommun. Denna avverkningsanmälan inkom 2023-10-16 00:00:00 och omfattar 138,4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blackticka (VU), ostticka (VU), rynkskinn (VU), skuggnål (VU), tajgaskinn (VU), ulltickeporing (VU), brunpudrad nållav (NT), doftskinn (NT), gammelgransskål (NT), garnlav (NT), granticka (NT), gränsticka (NT), harticka (NT), järpe (NT, §4), knottrig blåslav (NT), lunglav (NT), rosenticka (NT), rödbrun blekspik (NT), skrovellav (NT), spillkråka (NT, §4), talltita (NT, §4), tretåig hackspett (NT, §4), ullticka (NT), vedflikmossa (NT), violmussling (NT), vitgrynig nållav (NT), bårdlav (S), fjällig taggsvamp s.str. (S), grov husmossa (S), gulnål (S), källpraktmossa (S), luddlav (S), mörk husmossa (S), norrlandslav (S), plattlummer (S, §9), skogshakmossa (S), spindelblomster (S, §8), stuplav (S), taggstjärnmossa (S), tibast (S), trådticka (S), vedticka (S), ögonpyrola (S), kungsfågel (§4), lavskrika (§4) och revlummer (§9).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7212542, E 583730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spillkråka (NT, §4), talltita (NT, §4), tretåig hackspett (NT, §4), plattlummer (S, §9),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