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17199-2024 i Storumans kommun</w:t>
      </w:r>
    </w:p>
    <w:p>
      <w:r>
        <w:t>Denna tillsynsbegäran behandlar höga naturvärden i avverkningsanmälan A 17199-2024 i Storumans kommun som inkom 2024-05-01 och omfattar 27,9 ha.</w:t>
      </w:r>
    </w:p>
    <w:p>
      <w:pPr>
        <w:pStyle w:val="Caption"/>
      </w:pPr>
      <w:r>
        <w:drawing>
          <wp:inline xmlns:a="http://schemas.openxmlformats.org/drawingml/2006/main" xmlns:pic="http://schemas.openxmlformats.org/drawingml/2006/picture">
            <wp:extent cx="5455893" cy="5724000"/>
            <wp:docPr id="1" name="Picture 1"/>
            <wp:cNvGraphicFramePr>
              <a:graphicFrameLocks noChangeAspect="1"/>
            </wp:cNvGraphicFramePr>
            <a:graphic>
              <a:graphicData uri="http://schemas.openxmlformats.org/drawingml/2006/picture">
                <pic:pic>
                  <pic:nvPicPr>
                    <pic:cNvPr id="0" name="A 17199-2024 karta.png"/>
                    <pic:cNvPicPr/>
                  </pic:nvPicPr>
                  <pic:blipFill>
                    <a:blip r:embed="rId16"/>
                    <a:stretch>
                      <a:fillRect/>
                    </a:stretch>
                  </pic:blipFill>
                  <pic:spPr>
                    <a:xfrm>
                      <a:off x="0" y="0"/>
                      <a:ext cx="5455893"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7216213, E 620048 i SWEREF 99 TM.</w:t>
      </w:r>
    </w:p>
    <w:p>
      <w:r>
        <w:t>I och inom 20 meter från avverkningsanmälan finns fynd av 34 naturvårdsarter, varav 17 är rödlistade, 11 är fridlysta, 26 är typiska (T) och 11 är signalarter (S): doftticka (VU, T, §8), garnlav (VU, T), gränsticka (VU, T), knärot (VU, T, §8), ulltickeporing (VU), kortskaftad ärgspik (NT), lunglav (NT, T), nordlig nållav (NT), rosenticka (NT, T), rynkskinn (NT, T), skogsfältmätare (NT), skrovellav (NT, T), tretåig hackspett (NT, T, §4), ullticka (NT, T), vedskivlav (NT, T), vedtrappmossa (NT, T), vitgrynig nållav (NT), bårdlav (S, T), guckusko (S, T, §7), lappranunkel (S, T, §7), luddlav (S, T), skinnlav (S, T), spindelblomster (S, T, §8), stuplav (S, T), svart trolldruva (S, T), tibast (S, T), vedticka (S, T), ögonpyrola (S, T), fjällskråp (T), spillkråka (T, §4), tjäder (T,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25 fyndplatser för knärot registrerade på Artportalen. Figur 2 visar gränserna för buffertzoner på 50 m, som behöver lämnas kring fyndplatserna för att knärotslokalerna inte ska försvinna vid en avverkning. Av det avverkningsanmälda området överlappar 5.82 ha med buffertzonerna och får av detta skäl inte avverkas.</w:t>
      </w:r>
    </w:p>
    <w:p>
      <w:pPr>
        <w:pStyle w:val="Caption"/>
      </w:pPr>
      <w:r>
        <w:drawing>
          <wp:inline xmlns:a="http://schemas.openxmlformats.org/drawingml/2006/main" xmlns:pic="http://schemas.openxmlformats.org/drawingml/2006/picture">
            <wp:extent cx="5486400" cy="4996206"/>
            <wp:docPr id="2" name="Picture 2"/>
            <wp:cNvGraphicFramePr>
              <a:graphicFrameLocks noChangeAspect="1"/>
            </wp:cNvGraphicFramePr>
            <a:graphic>
              <a:graphicData uri="http://schemas.openxmlformats.org/drawingml/2006/picture">
                <pic:pic>
                  <pic:nvPicPr>
                    <pic:cNvPr id="0" name="A 17199-2024 karta knärot.png"/>
                    <pic:cNvPicPr/>
                  </pic:nvPicPr>
                  <pic:blipFill>
                    <a:blip r:embed="rId17"/>
                    <a:stretch>
                      <a:fillRect/>
                    </a:stretch>
                  </pic:blipFill>
                  <pic:spPr>
                    <a:xfrm>
                      <a:off x="0" y="0"/>
                      <a:ext cx="5486400" cy="499620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7216213, E 620048 i SWEREF 99 TM.</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Skogsfältmätare (NT)</w:t>
      </w:r>
      <w:r>
        <w:t xml:space="preserve"> hör hemma i barrblandskogar där larven lever på blåbär. Arten har minskat kraftigt under de senaste 10–15 åren och fjärilen har försvunnit från många av sina tidigare förekomster. Minskningen är av allt att döma störst i den södra halvan av utbredningsområdet. Det storskaliga trakthyggesbruket kan förklara huvuddelen av artens minskningar. Om skogsfältmätare på längre sikt ska vara livskraftig är det nödvändigt att äldre barrskogar undantas från kalavverkning i betydligt högre omfattning än idag. Det är förmodligen även nödvändigt att sådana skogar undantas från storskaligt skogsbruk på landskapsnivå för att kunna upprätthålla tillräcklig konnektivitet i form av spridningskorridorer mellan habitaten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Fjällskråp</w:t>
      </w:r>
      <w:r>
        <w:t xml:space="preserve"> är typisk art för 9050 Näringsrik granskog. Fjällskråp är värdväxt för den sällsynta fjärilen fjällskråpsmal (DD). Fjärilens larver gör fläckminor på fjällskråpblad och arten är därför relativt lätt att påvisa där den finns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doftticka (VU, T, §8), garnlav (VU, T), gränsticka (VU, T), knärot (VU, T, §8), lunglav (NT, T), rosenticka (NT, T), rynkskinn (NT, T), skrovellav (NT, T), tretåig hackspett (NT, T, §4), ullticka (NT, T), vedskivlav (NT, T), vedtrappmossa (NT, T), bårdlav (S, T), guckusko (S, T, §7), lappranunkel (S, T, §7), luddlav (S, T), skinnlav (S, T), spindelblomster (S, T, §8), stuplav (S, T), svart trolldruva (S, T), tibast (S, T), vedticka (S, T), ögonpyrola (S, T), fjällskråp (T), spillkråka (T, §4) och tjäder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2026).</w:t>
      </w:r>
    </w:p>
    <w:p>
      <w:r>
        <w:t xml:space="preserve">Ulltickeporingen har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(SLU Artdatabanken, 2026; Miettinen &amp; Niemelä, 2018).</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2026.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