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00:00:00 och omfattar 885,0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Atomaria alpina</w:t>
      </w:r>
      <w:r>
        <w:rPr>
          <w:b/>
        </w:rPr>
        <w:t xml:space="preserve"> (NT)</w:t>
      </w:r>
      <w:r>
        <w:t xml:space="preserve"> är en skogslevande fuktbagge som främst påträffas under svampig granbark och på undersidan av klibbtickor på granstubbar och granlågor. Arten förekommer i äldre gran- och blandskogsbestånd och missgynnas av rationellt skogsbruk. Gamla granbestånd med döda träd bör så långt möjligt sparas i större delen av landet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Gransvartbagge</w:t>
      </w:r>
      <w:r>
        <w:rPr>
          <w:b/>
          <w:i/>
        </w:rPr>
        <w:t xml:space="preserve"> </w:t>
      </w:r>
      <w:r>
        <w:rPr>
          <w:b/>
        </w:rPr>
        <w:t xml:space="preserve">(VU) </w:t>
      </w:r>
      <w:r>
        <w:t>är en skalbagge vars larvutveckling sker i gångar av vedlevande insekter i döda barrträd, främst i gångar av långhorningarna bronshjon och vågbandad barkbock, i stående döda granar som är solexponerade och har sammanhängande, fasttorkad bark. Arten har trängts tillbaka av det storskaliga skogsbruket och påträffas nu främst i eller i anslutning till kvarvarande naturskogsbestånd. Fler områden med för arten lämpliga granbestånd bör avsättas som naturreservat i Norrlands och Svealands inland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megacephalus</w:t>
      </w:r>
      <w:r>
        <w:rPr>
          <w:b/>
        </w:rPr>
        <w:t xml:space="preserve"> (NT) </w:t>
      </w:r>
      <w:r>
        <w:t xml:space="preserve">är en kortvinge som lever under barken på döda träd, främst ganska grova, liggande barrträd men sällsynt även på björk, även på brända stående tallar. Arten föredrar beskuggade lågor med fuktig bark inne i ganska täta bestånd. Larverna påträffas ofta tillsammans med de fullbildade skalbaggarna. Skiljs från den närbesläktade </w:t>
      </w:r>
      <w:r>
        <w:rPr>
          <w:i/>
        </w:rPr>
        <w:t>Olisthaerus substriatus</w:t>
      </w:r>
      <w:r>
        <w:t>, som den annars liknar, på att huvudet är nästan så brett som halsskölden och att ögonen endast är mycket svagt utstående. Arten hotas starkt av bristen på döda grova framför allt liggande tallar. Det största hotet är avverkning av tallbestånd med äldre grova tallar. Kvarvarande naturskogsbestånd med framför allt tall inom artens nuvarande utbredningsområde behöver bevaras. Vindfällen av grova tallar i bör sparas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