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45899-2025 i Storumans kommun</w:t>
      </w:r>
    </w:p>
    <w:p>
      <w:r>
        <w:t>Detta dokument behandlar höga naturvärden i avverkningsanmälan A 45899-2025 i Storumans kommun. Denna avverkningsanmälan inkom 2025-09-23 16:20:05 och omfattar 67,4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fläckporing (VU), grantickeporing (VU), lappticka (VU), ostticka (VU), rostskinn (VU), rynkskinn (VU), skuggnål (VU), blanksvart spiklav (NT), blågrå svartspik (NT), brunpudrad nållav (NT), doftskinn (NT), gammelgransskål (NT), garnlav (NT), granticka (NT), gränsticka (NT), harticka (NT), kolflarnlav (NT), lunglav (NT), nordlig nållav (NT), nordtagging (NT), rosenticka (NT), rödbrun blekspik (NT), rödvingetrast (NT, §4), skogshare (NT), skrovellav (NT), spillkråka (NT, §4), stjärntagging (NT), talltita (NT, §4), tretåig hackspett (NT, §4), ullticka (NT), vedflikmossa (NT), vedtrappmossa (NT), vitgrynig nållav (NT), blodticka (S), bårdlav (S), gulnål (S), luddlav (S), norrlandslav (S), plattlummer (S, §9), skinnlav (S), stuplav (S), trådticka (S), vedticka (S), ögonpyrola (S), kungsfågel (§4), lavskrika (§4), tjäder (§4) och revlummer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7212163, E 585187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