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36585-2025 i Storumans kommun</w:t>
      </w:r>
    </w:p>
    <w:p>
      <w:r>
        <w:t>Denna tillsynsbegäran behandlar höga naturvärden i avverkningsanmälan A 36585-2025 i Storumans kommun som inkom 2025-08-01 och omfattar 20,7 ha.</w:t>
      </w:r>
    </w:p>
    <w:p>
      <w:pPr>
        <w:pStyle w:val="Caption"/>
      </w:pPr>
      <w:r>
        <w:drawing>
          <wp:inline xmlns:a="http://schemas.openxmlformats.org/drawingml/2006/main" xmlns:pic="http://schemas.openxmlformats.org/drawingml/2006/picture">
            <wp:extent cx="5486400" cy="3982396"/>
            <wp:docPr id="1" name="Picture 1"/>
            <wp:cNvGraphicFramePr>
              <a:graphicFrameLocks noChangeAspect="1"/>
            </wp:cNvGraphicFramePr>
            <a:graphic>
              <a:graphicData uri="http://schemas.openxmlformats.org/drawingml/2006/picture">
                <pic:pic>
                  <pic:nvPicPr>
                    <pic:cNvPr id="0" name="A 36585-2025 karta.png"/>
                    <pic:cNvPicPr/>
                  </pic:nvPicPr>
                  <pic:blipFill>
                    <a:blip r:embed="rId16"/>
                    <a:stretch>
                      <a:fillRect/>
                    </a:stretch>
                  </pic:blipFill>
                  <pic:spPr>
                    <a:xfrm>
                      <a:off x="0" y="0"/>
                      <a:ext cx="5486400" cy="398239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7217741, E 626332 i SWEREF 99 TM.</w:t>
      </w:r>
    </w:p>
    <w:p>
      <w:r>
        <w:t>I och inom 25 meter från avverkningsanmälan finns fynd av 49 naturvårdsarter, varav 37 är rödlistade, 11 är fridlysta, 30 är typiska (T) och 7 är signalarter (S): urskogsporing (EN), doftticka (VU, T, §8), fläckporing (VU, T), garnlav (VU, T), gräddporing (VU, T), knärot (VU, T, §8), kristallticka (VU), laxgröppa (VU), smalfotad taggsvamp (VU), blanksvart spiklav (NT), blå taggsvamp (NT, T), blågrå svartspik (NT), dropptaggsvamp (NT, T), dvärgbägarlav (NT, T), gammelgransskål (NT, T), gröntagging (NT), harticka (NT, T), kolflarnlav (NT, T), kådvaxskinn (NT), lavskrika (NT, T, §4), liten svartspik (NT), lunglav (NT, T), mörk kolflarnlav (NT), nordtagging (NT), orange taggsvamp (NT, T), rosenticka (NT, T), skarp dropptaggsvamp (NT), skrovellav (NT, T), stiftgelélav (NT, T), stjärntagging (NT, T), svartvit taggsvamp (NT), talltita (NT, §4), tretåig hackspett (NT, T, §4), ullticka (NT, T), vedflamlav (NT), vedskivlav (NT, T), vitgrynig nållav (NT), bårdlav (S, T), grönpyrola (S, T), luddlav (S, T), skinnlav (S, T), spindelblomster (S, T, §8), stuplav (S, T), vedticka (S, T), järpe (T, §4), spillkråka (T, §4), svartvit flugsnappare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34 fyndplatser för knärot registrerade på Artportalen. Figur 2 visar gränserna för buffertzoner på 50 m, som behöver lämnas kring fyndplatserna för att knärotslokalerna inte ska försvinna vid en avverkning. Av det avverkningsanmälda området överlappar 10.32 ha med buffertzonerna och får av detta skäl inte avverkas.</w:t>
      </w:r>
    </w:p>
    <w:p>
      <w:pPr>
        <w:pStyle w:val="Caption"/>
      </w:pPr>
      <w:r>
        <w:drawing>
          <wp:inline xmlns:a="http://schemas.openxmlformats.org/drawingml/2006/main" xmlns:pic="http://schemas.openxmlformats.org/drawingml/2006/picture">
            <wp:extent cx="5486400" cy="6422134"/>
            <wp:docPr id="2" name="Picture 2"/>
            <wp:cNvGraphicFramePr>
              <a:graphicFrameLocks noChangeAspect="1"/>
            </wp:cNvGraphicFramePr>
            <a:graphic>
              <a:graphicData uri="http://schemas.openxmlformats.org/drawingml/2006/picture">
                <pic:pic>
                  <pic:nvPicPr>
                    <pic:cNvPr id="0" name="A 36585-2025 karta knärot.png"/>
                    <pic:cNvPicPr/>
                  </pic:nvPicPr>
                  <pic:blipFill>
                    <a:blip r:embed="rId17"/>
                    <a:stretch>
                      <a:fillRect/>
                    </a:stretch>
                  </pic:blipFill>
                  <pic:spPr>
                    <a:xfrm>
                      <a:off x="0" y="0"/>
                      <a:ext cx="5486400" cy="6422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7217741, E 626332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knärot (VU, T, §8), blå taggsvamp (NT, T), dropptaggsvamp (NT, T), dvärgbägarlav (NT, T), gammelgransskål (NT, T), harticka (NT, T), kolflarnlav (NT, T), lavskrika (NT, T, §4), lunglav (NT, T), orange taggsvamp (NT, T), rosenticka (NT, T), skrovellav (NT, T), stiftgelélav (NT, T), stjärntagging (NT, T), tretåig hackspett (NT, T, §4), ullticka (NT, T), vedskivlav (NT, T), bårdlav (S, T), grönpyrola (S, T), luddlav (S, T), skinnlav (S, T), spindelblomster (S, T, §8), stuplav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