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22179-2022 i Storumans kommun</w:t>
      </w:r>
    </w:p>
    <w:p>
      <w:r>
        <w:t>Detta dokument behandlar höga naturvärden i avverkningsanmälan A 22179-2022 i Storumans kommun. Denna avverkningsanmälan inkom 2022-05-31 00:00:00 och omfattar 51,6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Doftporing (VU)</w:t>
      </w:r>
      <w:r>
        <w:t xml:space="preserve"> är en nedbrytare på tall- och granlågor i gammal barrskog. Den är knuten till sådana miljöer och dödvedsubstrat som inte återskapas i samma takt som de försvinner. De kompensationsåtgärder som görs genom skydd av områden, nyckelbiotoper och generell hänsyn samt ökning av individer i dagens populationer och eventuell etablering på nya lokaler bedöms inte helt kunna kompensera minskningen av arten i produktionsskogslandskapet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