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48337-2021 i Storumans kommun</w:t>
      </w:r>
    </w:p>
    <w:p>
      <w:r>
        <w:t>Detta dokument behandlar höga naturvärden i avverkningsanmälan A 48337-2021 i Storumans kommun. Denna avverkningsanmälan inkom 2021-09-12 00:00:00 och omfattar 2,9 ha.</w:t>
      </w:r>
    </w:p>
    <w:p>
      <w:r>
        <w:t>Nedan presenteras fynd av naturvårdsarter och fridlysta arter som gjorts i det avverkningsanmälda området, samt relevanta utdrag ur standarderna för FSC, Chain of Custody, Controlled Wood och PEFC. I BILAGA 1 finns artfakta om rödlistade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12 naturvårdsarter hittats: gammelgransskål (NT), garnlav (NT), knottrig blåslav (NT), lunglav (NT), vitgrynig nållav (NT), bårdlav (S), norrlandslav (S), spindelblomster (S, §8), stuplav (S), vedticka (S), gråspett (§4) och revlummer (§9). Av dessa är 5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138307"/>
            <wp:docPr id="1" name="Picture 1"/>
            <wp:cNvGraphicFramePr>
              <a:graphicFrameLocks noChangeAspect="1"/>
            </wp:cNvGraphicFramePr>
            <a:graphic>
              <a:graphicData uri="http://schemas.openxmlformats.org/drawingml/2006/picture">
                <pic:pic>
                  <pic:nvPicPr>
                    <pic:cNvPr id="0" name="A 48337-2021 karta.png"/>
                    <pic:cNvPicPr/>
                  </pic:nvPicPr>
                  <pic:blipFill>
                    <a:blip r:embed="rId16"/>
                    <a:stretch>
                      <a:fillRect/>
                    </a:stretch>
                  </pic:blipFill>
                  <pic:spPr>
                    <a:xfrm>
                      <a:off x="0" y="0"/>
                      <a:ext cx="5486400" cy="313830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7222723, E 607547 i SWEREF 99 TM.</w:t>
      </w:r>
    </w:p>
    <w:p>
      <w:r>
        <w:rPr>
          <w:b/>
        </w:rPr>
        <w:t>Bårdlav</w:t>
      </w:r>
      <w:r>
        <w:t xml:space="preserve"> signalerar miljöer med höga naturvärden och på lokalerna finns vanligtvis många andra ovanliga och rödlistade arter. Den visar även på platser med hög och jämn luftfuktighet. På bårdlav och andra njurlavar (Nephroma) kan de sällsynta parasiterna </w:t>
      </w:r>
      <w:r>
        <w:rPr>
          <w:i/>
        </w:rPr>
        <w:t xml:space="preserve">Protounguicularia nephromatis </w:t>
      </w:r>
      <w:r>
        <w:t xml:space="preserve">(VU) och </w:t>
      </w:r>
      <w:r>
        <w:rPr>
          <w:i/>
        </w:rPr>
        <w:t xml:space="preserve">Tremella nephromatis </w:t>
      </w:r>
      <w:r>
        <w:t xml:space="preserve">(DD) påträffas. Bårdlav är typisk art för </w:t>
      </w:r>
      <w:r>
        <w:rPr>
          <w:i/>
        </w:rPr>
        <w:t xml:space="preserve">9010 Taiga, 9020 Nordlig ädellövskog, 9070 Trädklädd betesmark, 9110 Näringsfattig bokskog, 9160 Näringsrik ekskog, 9180 Ädellövskog i branter </w:t>
      </w:r>
      <w:r>
        <w:t>och</w:t>
      </w:r>
      <w:r>
        <w:rPr>
          <w:i/>
        </w:rPr>
        <w:t xml:space="preserve"> 9190 Näringsfattig ekskog</w:t>
      </w:r>
      <w:r>
        <w:t xml:space="preserve"> (SLU Artdatabanken, 2026; Nitare &amp; Skogsstyrelsen, 2019).</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Knottrig blåslav (NT)</w:t>
      </w:r>
      <w:r>
        <w:t xml:space="preserve"> har sin huvudutbredning i gamla granskogar i det övre barrskogsbältet mot fjällen. Den signalerar alltid höga naturvärden och växer i skogar med lång kontinuitet, mest i opåverkade naturskogsbestånd. Arten överlever inte en slutavverkning (inklusive hänsyn) och den finns idag enbart i kontinuitetsskog. Lavens fortsatta förekomst bör säkerställas genom att lokaler med äldre barrskog skyddas. Knottrig blåslav är typisk art för </w:t>
      </w:r>
      <w:r>
        <w:rPr>
          <w:i/>
        </w:rPr>
        <w:t xml:space="preserve">9010 Taiga </w:t>
      </w:r>
      <w:r>
        <w:t>och</w:t>
      </w:r>
      <w:r>
        <w:rPr>
          <w:i/>
        </w:rPr>
        <w:t xml:space="preserve"> 9040 Fjällbjörkskog</w:t>
      </w:r>
    </w:p>
    <w:p>
      <w:r>
        <w:t>(SLU Artdatabanken, 2024; Nitare &amp; Skogsstyrelsen, 2019).</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 xml:space="preserve">Norrlandslav </w:t>
      </w:r>
      <w:r>
        <w:t xml:space="preserve">indikerar söder om den naturliga norrlandsgränsen barrskogsbeklädda bergbranter eller andra ostörda skogsmiljöer med höga naturvärden. Norrlandslav är typisk art för </w:t>
      </w:r>
      <w:r>
        <w:rPr>
          <w:i/>
        </w:rPr>
        <w:t xml:space="preserve">9010 Taiga, 8110 Silikatrasmarker </w:t>
      </w:r>
      <w:r>
        <w:t>och</w:t>
      </w:r>
      <w:r>
        <w:rPr>
          <w:i/>
        </w:rPr>
        <w:t xml:space="preserve"> 8120 Kalkrasmarker </w:t>
      </w:r>
      <w:r>
        <w:t>(Nitare &amp; Skogsstyrelsen, 2000; SLU Artdatabanken, 2025).</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pPr>
        <w:pStyle w:val="Heading1"/>
      </w:pPr>
      <w:r>
        <w:t>Fridlysta arter</w:t>
      </w:r>
    </w:p>
    <w:p>
      <w:r>
        <w:t>Följande fridlysta arter har sina livsmiljöer och växtplatser i den avverkningsanmälda skogen: spindelblomster (S, §8), gråspett (§4) och revlummer (§9).</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Gråspett (§4)</w:t>
      </w:r>
      <w:r>
        <w:t xml:space="preserve"> är fridlyst enligt 4§ artskyddsförordningen och upptagen i bilaga 1 fågeldirektivet. Gråspetten är en bra indikator för lövrika områden på landskapsnivå och försvinner när gles, flerskiktad, lövrik skog med hög andel döda och döende träd ersätts av täta, barrdominerade likåldriga bestånd. Arten missgynnas av skogliga åtgärder som minskar mängden död ved, som t.ex. bortrensning av vindfällen, avverkning i sumpskogsmiljöer och på brandfält. Häckningsreviret är stort, cirka 50–100 hektar. Under vintern är gråspetten mer beroende av äldre skog och döda träd och kan då röra sig över betydligt större områden, uppemot 2000–5000 hektar. Gråspett är typisk art för </w:t>
      </w:r>
      <w:r>
        <w:rPr>
          <w:i/>
        </w:rPr>
        <w:t xml:space="preserve">9010 Taiga </w:t>
      </w:r>
      <w:r>
        <w:t>(Skogsstyrelsen, 2016; SLU Artdatabanken, 2025).</w:t>
      </w:r>
    </w:p>
    <w:p>
      <w:r>
        <w:rPr>
          <w:b/>
        </w:rPr>
        <w:t>Spindelblomster (§8)</w:t>
      </w:r>
      <w:r>
        <w:t xml:space="preserve"> växer i äldre mossrik granskog eller barrblandskog, men även i fjällbjörkskog. Arten indikerar långvarig trädkontinuitet och hög luftfuktighet och är mycket känslig för uttorkning och markskador. Spindelblomster har i många trakter minskat starkt under senare tid på grund av slutavverkningar och skogsmarksdikning. Spindelblomster är typisk art för </w:t>
      </w:r>
      <w:r>
        <w:rPr>
          <w:i/>
        </w:rPr>
        <w:t xml:space="preserve">9010 Taiga, 9050 Näringsrik granskog </w:t>
      </w:r>
      <w:r>
        <w:t>och</w:t>
      </w:r>
      <w:r>
        <w:rPr>
          <w:i/>
        </w:rPr>
        <w:t xml:space="preserve"> 9040 Fjällbjörkskog</w:t>
      </w:r>
      <w:r>
        <w:t xml:space="preserve"> (Nitare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12 naturvårdsarter varav 5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2026-06-02</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