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43939-2020 i Storumans kommun</w:t>
      </w:r>
    </w:p>
    <w:p>
      <w:r>
        <w:t>Detta dokument behandlar höga naturvärden i avverkningsanmälan A 43939-2020 i Storumans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tajgafjällfly (EN), urskogsfly (EN), högnordiskt fjällfly (VU), tajgafältmätare (VU), granticka (NT), harticka (NT), rosenticka (NT), skogsfältmätare (NT), skrovellav (NT), ullticka (NT), bårdlav (S), korallrot (S, §8), kransrams (S), plattlummer (S, §9),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Tajgafjällfly (EN)</w:t>
      </w:r>
      <w:r>
        <w:t xml:space="preserve"> är en starkt hotad fjäril som är knuten till fjällnära taiga av urskogstyp med gran som huvudsakligt trädslag. Den är mycket känslig för skogliga ingrepp i sin miljö och inventeras numera inom ramen för biogeografisk uppföljning. Tajgafjällflyet omfattas av EU:s habitatdirektiv bilaga 2 vilket innebär att arten ska skyddas i nätverket Natura 2000. Dess bevarandestatus inom habitatdirektivet är dålig med negativ trend. Trakthuggningar bör helt upphöra i de fjällnära naturskogarna vid granens nordgräns och de lokaler där arten förekommer bör lämnas för helt fri utveckling och skyddas i form av reservat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Urskogsfly (EN)</w:t>
      </w:r>
      <w:r>
        <w:t xml:space="preserve"> är en starkt hotad art som förekommer mycket sällsynt i äldre, lavrik, ofta senvuxen gran- eller barrblandskog från Småland till Norrbotten. Artens utbredning har minskat kraftigt under de senaste 30–40 åren i takt med gammelskogens försvinnande och den är numera troligen försvunnen från Götaland, möjligen med undantag för ett begränsat och isolerat naturreservat i Jönköpings län. Urskogsflyet har bedömts vara den svenska storfjärilsart som bäst indikerar orörd barrskog och det mest påtagliga hotet mot arten är avverkning av kvarvarande äldre, ojämna och luckiga barrskogsbestånd samt tilltagande fragmentering av mer vidsträckta barrskogsarealer (SLU Artdatabanken, 2024).</w:t>
      </w:r>
    </w:p>
    <w:p>
      <w:pPr>
        <w:pStyle w:val="Heading1"/>
      </w:pPr>
      <w:r>
        <w:t>Fridlysta arter</w:t>
      </w:r>
    </w:p>
    <w:p>
      <w:r>
        <w:t>Följande fridlysta arter har sina livsmiljöer och växtplatser i den avverkningsanmälda skogen: korallrot (S, §8) och plattlummer (S,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