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12427-2023 i Storumans kommun</w:t>
      </w:r>
    </w:p>
    <w:p>
      <w:r>
        <w:t>Detta klagomål behandlar höga naturvärden i avverkningsanmälan A 12427-2023 i Storumans kommun som inkom 2023-03-10 och omfattar 344,5 ha.</w:t>
      </w:r>
    </w:p>
    <w:p>
      <w:pPr>
        <w:pStyle w:val="Caption"/>
      </w:pPr>
      <w:r>
        <w:drawing>
          <wp:inline xmlns:a="http://schemas.openxmlformats.org/drawingml/2006/main" xmlns:pic="http://schemas.openxmlformats.org/drawingml/2006/picture">
            <wp:extent cx="5268106" cy="5724000"/>
            <wp:docPr id="1" name="Picture 1"/>
            <wp:cNvGraphicFramePr>
              <a:graphicFrameLocks noChangeAspect="1"/>
            </wp:cNvGraphicFramePr>
            <a:graphic>
              <a:graphicData uri="http://schemas.openxmlformats.org/drawingml/2006/picture">
                <pic:pic>
                  <pic:nvPicPr>
                    <pic:cNvPr id="0" name="A 12427-2023 karta.png"/>
                    <pic:cNvPicPr/>
                  </pic:nvPicPr>
                  <pic:blipFill>
                    <a:blip r:embed="rId16"/>
                    <a:stretch>
                      <a:fillRect/>
                    </a:stretch>
                  </pic:blipFill>
                  <pic:spPr>
                    <a:xfrm>
                      <a:off x="0" y="0"/>
                      <a:ext cx="5268106"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7265965, E 526753 i SWEREF 99 TM.</w:t>
      </w:r>
    </w:p>
    <w:p>
      <w:r>
        <w:t>I och inom 25 meter från avverkningsanmälan finns fynd av 25 naturvårdsarter, varav 16 är rödlistade, 4 är fridlysta, 19 är typiska (T) och 8 är signalarter (S): fjällfotad musseron (VU), garnlav (VU, T), gränsticka (VU, T), tajgaskinn (VU), doftskinn (NT, T), gammelgransskål (NT, T), harticka (NT, T), knottrig blåslav (NT, T), lavskrika (NT, T, §4), rosenticka (NT, T), rynkskinn (NT, T), rödbrun blekspik (NT, T), talltita (NT, §4), tretåig hackspett (NT, T, §4), ullticka (NT, T), vitgrynig nållav (NT), bronshjon (S, T), mörk husmossa (S, T), rostfläck (S, T), stuplav (S, T), svavelriska (S), trådticka (S, T), vågbandad barkbock (S), ögonpyrola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Fjällfotad musseron (VU)</w:t>
      </w:r>
      <w:r>
        <w:t xml:space="preserve"> bildar mykorrhiza med gran i äldre barrskog på kalkrik mark. Arten är en god indikator på en skyddsvärd miljö och platser där den förekommer bör därför undantas från storskaligt skogsbruk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25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