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25126-2023 i Storumans kommun</w:t>
      </w:r>
    </w:p>
    <w:p>
      <w:r>
        <w:t>Detta klagomål behandlar höga naturvärden i avverkningsanmälan A 25126-2023 i Storumans kommun som inkom 2023-06-01 och omfattar 261,0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5126-2023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7265730, E 535057 i SWEREF 99 TM.</w:t>
      </w:r>
    </w:p>
    <w:p>
      <w:r>
        <w:t>I och inom 18 meter från avverkningsanmälan finns fynd av 23 naturvårdsarter, varav 15 är rödlistade, 2 är fridlysta, 19 är typiska (T) och 8 är signalarter (S): garnlav (VU, T), gränsticka (VU, T), vitskaftad svartspik (VU, T), brunpudrad nållav (NT, T), fjällig taggsvamp s.str. (NT), gammelgransskål (NT, T), harticka (NT, T), lavskrika (NT, T, §4), lunglav (NT, T), rosenticka (NT, T), rynkskinn (NT, T), rödbrun blekspik (NT, T), skrovellav (NT, T), tretåig hackspett (NT, T, §4), vitgrynig nållav (NT), björksplintborre (S), bårdlav (S, T), gulnål (S, T), gytterlav (S, T), rostfläck (S, T), stuplav (S, T), svavelriska (S)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