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24274-2026 i Storumans kommun</w:t>
      </w:r>
    </w:p>
    <w:p>
      <w:r>
        <w:t>Detta klagomål behandlar höga naturvärden i avverkningsanmälan A 24274-2026 i Storumans kommun som inkom 2026-05-25 och omfattar 317,1 ha.</w:t>
      </w:r>
    </w:p>
    <w:p>
      <w:pPr>
        <w:pStyle w:val="Caption"/>
      </w:pPr>
      <w:r>
        <w:drawing>
          <wp:inline xmlns:a="http://schemas.openxmlformats.org/drawingml/2006/main" xmlns:pic="http://schemas.openxmlformats.org/drawingml/2006/picture">
            <wp:extent cx="5486400" cy="5565585"/>
            <wp:docPr id="1" name="Picture 1"/>
            <wp:cNvGraphicFramePr>
              <a:graphicFrameLocks noChangeAspect="1"/>
            </wp:cNvGraphicFramePr>
            <a:graphic>
              <a:graphicData uri="http://schemas.openxmlformats.org/drawingml/2006/picture">
                <pic:pic>
                  <pic:nvPicPr>
                    <pic:cNvPr id="0" name="A 24274-2026 karta.png"/>
                    <pic:cNvPicPr/>
                  </pic:nvPicPr>
                  <pic:blipFill>
                    <a:blip r:embed="rId16"/>
                    <a:stretch>
                      <a:fillRect/>
                    </a:stretch>
                  </pic:blipFill>
                  <pic:spPr>
                    <a:xfrm>
                      <a:off x="0" y="0"/>
                      <a:ext cx="5486400" cy="5565585"/>
                    </a:xfrm>
                    <a:prstGeom prst="rect"/>
                  </pic:spPr>
                </pic:pic>
              </a:graphicData>
            </a:graphic>
          </wp:inline>
        </w:drawing>
      </w:r>
    </w:p>
    <w:p>
      <w:pPr>
        <w:pStyle w:val="Caption"/>
        <w:spacing w:after="240"/>
      </w:pPr>
      <w:r>
        <w:t>Figur 1. Fyndplatser för naturvårdsarter i och inom 18 meter från avverkningsanmälan. Markörer utan svart kant är placerade på fyndplatsen. Markörer med svart kant är placerade vid sidan av fyndplatsen och har ett svart streck som visar fyndplatsens exakta position. Kartans mittpunktskoordinat är N 7284014, E 522068 i SWEREF 99 TM.</w:t>
      </w:r>
    </w:p>
    <w:p>
      <w:r>
        <w:t>I och inom 18 meter från avverkningsanmälan finns fynd av 14 naturvårdsarter, varav 14 är rödlistade, 1 är fridlyst och 11 är typiska (T): gränsticka (VU, T), ostticka (VU, T), gammelgransskål (NT, T), grå blåbärsfältmätare (NT), harticka (NT, T), knottrig blåslav (NT, T), kötticka (NT), rosenticka (NT, T), rynkskinn (NT, T), rödbrun blekspik (NT, T), skrovellav (NT, T), tretåig hackspett (NT, T, §4), ullticka (NT, T) och vitgrynig nållav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 xml:space="preserve">Ostticka (VU) </w:t>
      </w:r>
      <w:r>
        <w:t xml:space="preserve">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Ostticka är typisk art för </w:t>
      </w:r>
      <w:r>
        <w:rPr>
          <w:i/>
        </w:rPr>
        <w:t xml:space="preserve">9010 Taiga </w:t>
      </w:r>
      <w:r>
        <w:t xml:space="preserve">och </w:t>
      </w:r>
      <w:r>
        <w:rPr>
          <w:i/>
        </w:rPr>
        <w:t>9030 Landhöjningsskog</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Grå blåbärsfältmätare (NT)</w:t>
      </w:r>
      <w:r>
        <w:t xml:space="preserve"> har tidigare ansetts som en mycket vanlig art men har utifrån fältobservationer gått starkt tillbaka och är nu försvunnen från stora delar av södra och mellersta Sverige. Sannolikt minskar arten även i norr. Detta indikerar att arten är starkare knuten till kontinuitetsskog med stort innehåll av blåbär än man tidigare trott och den förefaller vara mycket känslig för kalhyggesbruk. Fjärilens huvudsakliga habitat är luckiga granskogar med ett välutvecklat blåbärskikt på vilket larven lever. Denna livsmiljö är hotad av kalhyggesbruket där blåbärsriset skuggas ut när den uppväxande skogen sluter sig. Minskningstakten för den svenska populationen bedöms vara nära gränsvärdet för Sårbar (VU)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Kötticka (NT)</w:t>
      </w:r>
      <w:r>
        <w:t xml:space="preserve"> är granens kötticka och har klassificerats som ”gammelskogsindikator”, då den förekommer med ett tydligt optimum i äldre barrskogar, främst fuktiga granskogar. Den har högst signalvärde söder om den naturliga norrlandsgränsen </w:t>
      </w:r>
      <w:r>
        <w:rPr>
          <w:i/>
        </w:rPr>
        <w:t>limes norrlandicus</w:t>
      </w:r>
      <w:r>
        <w:t>, men signalerar vanligtvis höga naturvärden även i Norrland. Arten är knuten till miljöer med konstant luftfuktighet och känslig för uttorkning som en avverkning kan medföra. Den totala populationen bedöms därför ha minskat under de senaste 30 åren och fortsätter att minska i takt med att grankontinuitetsskogar (skogar som inte kalavverkats) minskar i areal, samtidigt som att lämpliga miljöer inte återskapas i samma takt (SLU Artdatabanken, 2024; Nitare &amp; Skogsstyrelsen, 2019).</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14 naturvårdsarter varav 14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