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15340-2023 i Storumans kommun</w:t>
      </w:r>
    </w:p>
    <w:p>
      <w:r>
        <w:t>Detta dokument behandlar höga naturvärden i avverkningsanmälan A 15340-2023 i Storumans kommun. Denna avverkningsanmälan inkom 2023-03-31 och omfattar 22,8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tajgaskinn (VU), gammelgransskål (NT), garnlav (NT), granticka (NT), harticka (NT), knottrig blåslav (NT), rosenticka (NT), tretåig hackspett (NT, §4), ullticka (NT), vitgrynig nållav (NT) och tjäder (§4).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2021"/>
            <wp:docPr id="1" name="Picture 1"/>
            <wp:cNvGraphicFramePr>
              <a:graphicFrameLocks noChangeAspect="1"/>
            </wp:cNvGraphicFramePr>
            <a:graphic>
              <a:graphicData uri="http://schemas.openxmlformats.org/drawingml/2006/picture">
                <pic:pic>
                  <pic:nvPicPr>
                    <pic:cNvPr id="0" name="A 15340-2023 karta.png"/>
                    <pic:cNvPicPr/>
                  </pic:nvPicPr>
                  <pic:blipFill>
                    <a:blip r:embed="rId16"/>
                    <a:stretch>
                      <a:fillRect/>
                    </a:stretch>
                  </pic:blipFill>
                  <pic:spPr>
                    <a:xfrm>
                      <a:off x="0" y="0"/>
                      <a:ext cx="5486400" cy="42420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7245690, E 551570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Tajgaskinn (VU)</w:t>
      </w:r>
      <w:r>
        <w:t xml:space="preserve"> är placerad högst upp i Skogsstyrelsens värdepyramid för bedömning av skog med höga naturvärden och har klassificerats som en ”urskogsindikator” som kräver närmast orörda skogsmiljöer med långvarig kontinuitet av grova granlågor i olika nedbrytningsstadier (Nitare &amp; Skogsstyrelsen, 2019).</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