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51949-2025 i Storumans kommun</w:t>
      </w:r>
    </w:p>
    <w:p>
      <w:r>
        <w:t>Denna tillsynsbegäran behandlar höga naturvärden i avverkningsanmälan A 51949-2025 i Storumans kommun som inkom 2025-10-22 och omfattar 48,0 ha.</w:t>
      </w:r>
    </w:p>
    <w:p>
      <w:pPr>
        <w:pStyle w:val="Caption"/>
      </w:pPr>
      <w:r>
        <w:drawing>
          <wp:inline xmlns:a="http://schemas.openxmlformats.org/drawingml/2006/main" xmlns:pic="http://schemas.openxmlformats.org/drawingml/2006/picture">
            <wp:extent cx="5486400" cy="5218679"/>
            <wp:docPr id="1" name="Picture 1"/>
            <wp:cNvGraphicFramePr>
              <a:graphicFrameLocks noChangeAspect="1"/>
            </wp:cNvGraphicFramePr>
            <a:graphic>
              <a:graphicData uri="http://schemas.openxmlformats.org/drawingml/2006/picture">
                <pic:pic>
                  <pic:nvPicPr>
                    <pic:cNvPr id="0" name="A 51949-2025 karta.png"/>
                    <pic:cNvPicPr/>
                  </pic:nvPicPr>
                  <pic:blipFill>
                    <a:blip r:embed="rId16"/>
                    <a:stretch>
                      <a:fillRect/>
                    </a:stretch>
                  </pic:blipFill>
                  <pic:spPr>
                    <a:xfrm>
                      <a:off x="0" y="0"/>
                      <a:ext cx="5486400" cy="521867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7259792, E 576335 i SWEREF 99 TM.</w:t>
      </w:r>
    </w:p>
    <w:p>
      <w:r>
        <w:t>I avverkningsanmälan finns fynd av 16 naturvårdsarter, varav 16 är rödlistade, 1 är fridlyst och 11 är typiska (T): garnlav (VU, T), gränsticka (VU, T), liten aspgelélav (VU, T), skuggnål (VU), brunpudrad nållav (NT, T), doftskinn (NT, T), harticka (NT, T), kötticka (NT), liten svartspik (NT), rosenticka (NT, T), rynkskinn (NT, T), rödbrun blekspik (NT, T), stjärntagging (NT, T), talltita (NT, §4), ullticka (NT, T) och vitgrynig nållav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Liten aspgelélav (VU)</w:t>
      </w:r>
      <w:r>
        <w:t xml:space="preserve">, rödlistad som sårbar, växer på asp i halvöppna boreala blandskogar med hög och jämn luftfuktighet. Den omfattas av åtgärdsprogram (ÅGP) för hotade arter på asp i Norrland och är placerad i toppen av Skogsstyrelsens värdepyramid för bedömning av skog med höga naturvärden. Arten har ett mycket högt skyddsvärde då en mycket stor andel (mer än 90 %) av samtliga kända lokaler i världen finns i Sverige. Samtliga lokaler måste skyddas och inslaget av asp i skogsmark måste öka på lång sikt. Liten aspgelélav är typisk art för </w:t>
      </w:r>
      <w:r>
        <w:rPr>
          <w:i/>
        </w:rPr>
        <w:t>9010 Taiga</w:t>
      </w:r>
      <w:r>
        <w:t xml:space="preserve"> (Naturvårdsverket, 2010; Nitare &amp; Skogsstyrelsen, 2019; SLU Artdatabanken, 2024).</w:t>
      </w:r>
    </w:p>
    <w:p>
      <w:r>
        <w:rPr>
          <w:b/>
        </w:rPr>
        <w:t xml:space="preserve">Skuggnål (VU) </w:t>
      </w:r>
      <w:r>
        <w:t>växer främst vid basen av gamla grova granar i gamla boreala barrskogar med hög bonitet och mycket hög luftfuktighet. Minskningstakten har uppgått till 30 (20–50) % under de senaste 50 åren och överstiger gränsvärdet för Sårbar (VU) enligt A-kriteriet. (A2bc+4bc). Vid skogliga inventeringar är skuggnål en art som måste eftersökas och dess växtplatser ska bedömas som nyckelbiotoper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liten aspgelélav (VU, T), brunpudrad nållav (NT, T), doftskinn (NT, T), harticka (NT, T), rosenticka (NT, T), rynkskinn (NT, T), rödbrun blekspik (NT, T), stjärntagging (NT, T) och ullticka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