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65464-2021 i Storumans kommun</w:t>
      </w:r>
    </w:p>
    <w:p>
      <w:r>
        <w:t>Detta dokument behandlar höga naturvärden i avverkningsanmälan A 65464-2021 i Storumans kommun. Denna avverkningsanmälan inkom 2021-11-15 00:00:00 och omfattar 20,0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19 naturvårdsarter hittats: lappticka (VU), rynkskinn (VU), doftskinn (NT), gammelgransskål (NT), garnlav (NT), granticka (NT), gränsticka (NT), harticka (NT), rosenticka (NT), spillkråka (NT, §4), tretåig hackspett (NT, §4), ullticka (NT), vedtrappmossa (NT), blodticka (S), bronshjon (S), svavelriska (S), trådticka (S), vedticka (S) och brudsporre (§8). Av dessa är 13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96411"/>
            <wp:docPr id="1" name="Picture 1"/>
            <wp:cNvGraphicFramePr>
              <a:graphicFrameLocks noChangeAspect="1"/>
            </wp:cNvGraphicFramePr>
            <a:graphic>
              <a:graphicData uri="http://schemas.openxmlformats.org/drawingml/2006/picture">
                <pic:pic>
                  <pic:nvPicPr>
                    <pic:cNvPr id="0" name="A 65464-2021 karta.png"/>
                    <pic:cNvPicPr/>
                  </pic:nvPicPr>
                  <pic:blipFill>
                    <a:blip r:embed="rId16"/>
                    <a:stretch>
                      <a:fillRect/>
                    </a:stretch>
                  </pic:blipFill>
                  <pic:spPr>
                    <a:xfrm>
                      <a:off x="0" y="0"/>
                      <a:ext cx="5486400" cy="29964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7264456, E 526876 i SWEREF 99 TM.</w:t>
      </w:r>
    </w:p>
    <w:p>
      <w:r>
        <w:rPr>
          <w:b/>
        </w:rPr>
        <w:t xml:space="preserve">Blodticka </w:t>
      </w:r>
      <w:r>
        <w:t xml:space="preserve">är i norra Sverige främst knuten till grova granlågor i urskogsartad barrskog, men förekommer ibland även på klenare granar i anslutning till bäckar och sumpskogar. Den är en bra indikator på granskogar med höga naturvärden och oftast förekommer den tillsammans med ett stort antal ovanliga och rödlistade arter. I södra Sverige växer den framför allt på tall och har då ett lägre signalvärde. Blodticka är typisk art för </w:t>
      </w:r>
      <w:r>
        <w:rPr>
          <w:i/>
        </w:rPr>
        <w:t>9030 Landhöjningsskog</w:t>
      </w:r>
      <w:r>
        <w:t xml:space="preserve"> (SLU Artdatabanken, 2025; Nitare &amp; Skogsstyrelsen, 2019).</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Granticka</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Det som tidigare inbegripit grantickan har visat sig röra sig om två arter; tajgagranticka </w:t>
      </w:r>
      <w:r>
        <w:rPr>
          <w:i/>
        </w:rPr>
        <w:t>Porodaedalea abietis</w:t>
      </w:r>
      <w:r>
        <w:t xml:space="preserve"> (LC) och </w:t>
      </w:r>
      <w:r>
        <w:rPr>
          <w:i/>
        </w:rPr>
        <w:t>Porodaedalea chrysoloma</w:t>
      </w:r>
      <w:r>
        <w:t xml:space="preserve"> (DD). Den nordligare arten, tajgagranticka, bildar större fruktkroppar och har sin främsta förekomst i norra Sverige, medan den mer tunnköttiga arten, </w:t>
      </w:r>
      <w:r>
        <w:rPr>
          <w:i/>
        </w:rPr>
        <w:t>P. chrysoloma</w:t>
      </w:r>
      <w:r>
        <w:t>, förekommer i sydöstra Sverige och på Gotland (SLU Artdatabanken, 2026; Nitare &amp; Skogsstyrelsen, 2019).</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Lappticka (VU)</w:t>
      </w:r>
      <w:r>
        <w:t xml:space="preserve">, rödlistad som sårbar, är knuten till gamla granskogar med riklig förekomst av död ved. Den klassas som en “urskogsindikator” och alla skogsskötselåtgärder på eller i omedelbar närhet av lokalerna utgör ett hot. Lappticka är typisk art för </w:t>
      </w:r>
      <w:r>
        <w:rPr>
          <w:i/>
        </w:rPr>
        <w:t>9010 Taiga</w:t>
      </w:r>
      <w:r>
        <w:t xml:space="preserve"> (Nitare &amp; Skogsstyrelsen, 2019; SLU Artdatabanken, 2024).</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spillkråka (NT, §4), tretåig hackspett (NT, §4) och brudsporre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