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12330-2023 i Storumans kommun</w:t>
      </w:r>
    </w:p>
    <w:p>
      <w:r>
        <w:t>Detta klagomål behandlar höga naturvärden i avverkningsanmälan A 12330-2023 i Storumans kommun som inkom 2023-03-10 och omfattar 248,7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2330-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7243452, E 552410 i SWEREF 99 TM.</w:t>
      </w:r>
    </w:p>
    <w:p>
      <w:r>
        <w:t>I avverkningsanmälan finns fynd av 9 naturvårdsarter, varav 8 är rödlistade, 8 är typiska (T) och 1 är signalart (S): garnlav (VU, T), gränsticka (VU, T), gammelgransskål (NT, T), lunglav (NT, T), rosenticka (NT, T), rödbrun blekspik (NT, T), skrovellav (NT, T), urnlav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Urnlav (NT)</w:t>
      </w:r>
      <w:r>
        <w:t xml:space="preserve"> växer på delvis döda fågelgödda toppgrenar av dvärgvuxna granar strax ovanför skogsgränsen. Det finns också ett fåtal fynd på myrar nedanför skogsgränsen. Förekomsterna nedanför skogsgränsen hotas av skogsavverkningar på eller i närheten av lokalerna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