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12427-2023 i Storumans kommun</w:t>
      </w:r>
    </w:p>
    <w:p>
      <w:r>
        <w:t>Detta dokument behandlar höga naturvärden i avverkningsanmälan A 12427-2023 i Storumans kommun. Denna avverkningsanmälan inkom 2023-03-10 00:00:00 och omfattar 344,5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vedtrådmossa (CR, §8), fjällfotad musseron (VU), tajgaskinn (VU), doftskinn (NT), gammelgransskål (NT), garnlav (NT), granticka (NT), gränsticka (NT), harticka (NT), knottrig blåslav (NT), rosenticka (NT), rödbrun blekspik (NT), talltita (NT, §4), tretåig hackspett (NT, §4), ullticka (NT), vitgrynig nållav (NT), bronshjon (S), mörk husmossa (S), rostfläck (S), stuplav (S), svavelriska (S), trådticka (S), vågbandad barkbock (S), ögonpyrola (S), lavskrika (§4)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4445"/>
            <wp:docPr id="1" name="Picture 1"/>
            <wp:cNvGraphicFramePr>
              <a:graphicFrameLocks noChangeAspect="1"/>
            </wp:cNvGraphicFramePr>
            <a:graphic>
              <a:graphicData uri="http://schemas.openxmlformats.org/drawingml/2006/picture">
                <pic:pic>
                  <pic:nvPicPr>
                    <pic:cNvPr id="0" name="A 12427-2023 karta.png"/>
                    <pic:cNvPicPr/>
                  </pic:nvPicPr>
                  <pic:blipFill>
                    <a:blip r:embed="rId16"/>
                    <a:stretch>
                      <a:fillRect/>
                    </a:stretch>
                  </pic:blipFill>
                  <pic:spPr>
                    <a:xfrm>
                      <a:off x="0" y="0"/>
                      <a:ext cx="5486400" cy="4204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7265965, E 526753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vedtrådmossa (CR, §8),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 xml:space="preserve">Vedtrådmossa (CR, §8) </w:t>
      </w:r>
      <w:r>
        <w:t>är en akut hotad art som växer på grova gamla tallågor i barrnaturskog på frisk mark. Lågorna, som är rikligt beväxta med mossor, lavar och svampar, har ofta legat i hundra år eller mer och har ett mjukt lätt sönderfallande ytskikt, särskilt på sidorna där vedtrådmossan kan påträffas. Lågans kärna är däremot nästan alltid hård och väl impregnerad med tjära. Vedtrådmossa är fridlyst enligt 8 § artskyddsförordningen och omfattas av EU:s art- och habitatdirektiv där dess bevarandestatus är dålig med negativ trend. Den är rödlistad som akut hotad (CR) i den europeiska rödlistan. Samtliga skogsskötselåtgärder på eller i omedelbar närhet av lokalerna utgör ett hot och lokaler där arten återfinns skall ges ett ändamålsenligt skydd (IUCN, 2024; SLU Artdatabanken, 2024;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