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17199-2024 i Storumans kommun</w:t>
      </w:r>
    </w:p>
    <w:p>
      <w:r>
        <w:t>Detta dokument behandlar höga naturvärden i avverkningsanmälan A 17199-2024 i Storumans kommun. Denna avverkningsanmälan inkom 2024-05-01 00:00:00 och omfattar 27,9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32 naturvårdsarter hittats: doftticka (VU, §8), knärot (VU, §8), rynkskinn (VU), ulltickeporing (VU), garnlav (NT), gränsticka (NT), kortskaftad ärgspik (NT), lunglav (NT), nordlig nållav (NT), rosenticka (NT), skogsfältmätare (NT), skrovellav (NT), spillkråka (NT, §4), tretåig hackspett (NT, §4), ullticka (NT), vedskivlav (NT), vedtrappmossa (NT), vitgrynig nållav (NT), bårdlav (S), guckusko (S, §7), lappranunkel (S, §7), luddlav (S), skinnlav (S), spindelblomster (S, §8), stuplav (S), svart trolldruva (S), tibast (S), vedticka (S), ögonpyrola (S), vanlig groda (§6), fläcknycklar (§8)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7423"/>
            <wp:docPr id="1" name="Picture 1"/>
            <wp:cNvGraphicFramePr>
              <a:graphicFrameLocks noChangeAspect="1"/>
            </wp:cNvGraphicFramePr>
            <a:graphic>
              <a:graphicData uri="http://schemas.openxmlformats.org/drawingml/2006/picture">
                <pic:pic>
                  <pic:nvPicPr>
                    <pic:cNvPr id="0" name="A 17199-2024 karta.png"/>
                    <pic:cNvPicPr/>
                  </pic:nvPicPr>
                  <pic:blipFill>
                    <a:blip r:embed="rId16"/>
                    <a:stretch>
                      <a:fillRect/>
                    </a:stretch>
                  </pic:blipFill>
                  <pic:spPr>
                    <a:xfrm>
                      <a:off x="0" y="0"/>
                      <a:ext cx="5486400" cy="38674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7216213, E 620048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Skogsfältmätare (NT)</w:t>
      </w:r>
      <w:r>
        <w:t xml:space="preserve"> hör hemma i barrblandskogar där larven lever på blåbär. Arten har minskat kraftigt under de senaste 10–15 åren och fjärilen har försvunnit från många av sina tidigare förekomster. Minskningen är av allt att döma störst i den södra halvan av utbredningsområdet. Det storskaliga trakthyggesbruket kan förklara huvuddelen av artens minskningar. Om skogsfältmätare på längre sikt ska vara livskraftig är det nödvändigt att äldre barrskogar undantas från kalavverkning i betydligt högre omfattning än idag. Det är förmodligen även nödvändigt att sådana skogar undantas från storskaligt skogsbruk på landskapsnivå för att kunna upprätthålla tillräcklig konnektivitet i form av spridningskorridorer mellan habitaten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guckusko (S, §7), lappranunkel (S, §7), spindelblomster (S, §8),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Guckusko (§7)</w:t>
      </w:r>
      <w:r>
        <w:t xml:space="preserve">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Guckusko är rödlistad som nära hotad (NT) i den europeiska rödlistan och Sverige hyser mer än halva den beräknade populationen av arten i EU, vilket innebär att vi har ett internationellt ansvar för arten (SLU Artdatabanken, 2021; IUCN, 2011).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5.82 ha med buffertzonerna och får av detta skäl inte avverkas.</w:t>
      </w:r>
    </w:p>
    <w:p>
      <w:pPr>
        <w:pStyle w:val="Caption"/>
      </w:pPr>
      <w:r>
        <w:drawing>
          <wp:inline xmlns:a="http://schemas.openxmlformats.org/drawingml/2006/main" xmlns:pic="http://schemas.openxmlformats.org/drawingml/2006/picture">
            <wp:extent cx="5486400" cy="4580586"/>
            <wp:docPr id="2" name="Picture 2"/>
            <wp:cNvGraphicFramePr>
              <a:graphicFrameLocks noChangeAspect="1"/>
            </wp:cNvGraphicFramePr>
            <a:graphic>
              <a:graphicData uri="http://schemas.openxmlformats.org/drawingml/2006/picture">
                <pic:pic>
                  <pic:nvPicPr>
                    <pic:cNvPr id="0" name="A 17199-2024 karta knärot.png"/>
                    <pic:cNvPicPr/>
                  </pic:nvPicPr>
                  <pic:blipFill>
                    <a:blip r:embed="rId17"/>
                    <a:stretch>
                      <a:fillRect/>
                    </a:stretch>
                  </pic:blipFill>
                  <pic:spPr>
                    <a:xfrm>
                      <a:off x="0" y="0"/>
                      <a:ext cx="5486400" cy="458058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7216213, E 620048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Guckusko – ekologi samt krav på livsmiljön</w:t>
      </w:r>
    </w:p>
    <w:p>
      <w:r>
        <w:t>Guckusko omfattas av EU:s art- och habitatdirektiv och är fridlyst enligt §7 Artskyddsförordningen (bilaga 1) vilket innebär att hela dess livsmiljö ska bevaras. Guckusko är beroende av hög och jämn luftfuktighet i gamla, ostörda skogsmiljöer och är känslig för snabba förändringar av ljus-/vindförhållanden eller uttorkning. Den förekommer främst i skogar som inte påverkats av kraftig störning, till exempel slutavverkning, markberedning, körskador, gödsling eller dikning (SLU Artdatabanken, 2021).</w:t>
      </w:r>
    </w:p>
    <w:p>
      <w:r>
        <w:t>Dikning och slutavverkning av guckuskons växtplatser är ett direkt hot mot arten och bör undvikas. Kalavverkning missgynnar arten, dels om hyggesavfall lämnas, vilket kan kväva enskilda bestånd, dels indirekt genom att mer konkurrensstarka arter gynnas. Körskador av skogsmaskiner och hyggesplöjning kan leda till lokalt ändrad hydrologi, då de mullrika, fuktiga jordarna är mjuka. Sverige hyser mer än halva den beräknade populationen av arten i EU, vilket innebär att vi har ett internationellt ansvar för arten (SLU Artdatabanken, 2021).</w:t>
      </w:r>
    </w:p>
    <w:p>
      <w:pPr>
        <w:pStyle w:val="Heading2"/>
      </w:pPr>
      <w:r>
        <w:t>Referenser – guckusko</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