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3379-2022 i Storumans kommun</w:t>
      </w:r>
    </w:p>
    <w:p>
      <w:r>
        <w:t>Detta dokument behandlar höga naturvärden i avverkningsanmälan A 3379-2022 i Storumans kommun. Denna avverkningsanmälan inkom 2022-01-24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brunpudrad nållav (NT), garnlav (NT), granticka (NT), harticka (NT), järpe (NT, §4), skrovellav (NT), spillkråka (NT, §4), talltita (NT, §4), tretåig hackspett (NT, §4), ullticka (NT), vitgrynig nållav (NT), bårdlav (S), finbräken (S), mörkhövdad spiklav (S), spindelblomster (S, §8), stuplav (S), skogsrör (§7)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0150"/>
            <wp:docPr id="1" name="Picture 1"/>
            <wp:cNvGraphicFramePr>
              <a:graphicFrameLocks noChangeAspect="1"/>
            </wp:cNvGraphicFramePr>
            <a:graphic>
              <a:graphicData uri="http://schemas.openxmlformats.org/drawingml/2006/picture">
                <pic:pic>
                  <pic:nvPicPr>
                    <pic:cNvPr id="0" name="A 3379-2022 karta.png"/>
                    <pic:cNvPicPr/>
                  </pic:nvPicPr>
                  <pic:blipFill>
                    <a:blip r:embed="rId16"/>
                    <a:stretch>
                      <a:fillRect/>
                    </a:stretch>
                  </pic:blipFill>
                  <pic:spPr>
                    <a:xfrm>
                      <a:off x="0" y="0"/>
                      <a:ext cx="5486400" cy="3440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7260909, E 551015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järpe (NT, §4), spillkråka (NT, §4), talltita (NT, §4), tretåig hackspett (NT, §4), spindelblomster (S, §8), skogsrör (§7)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Skogsrör (§7)</w:t>
      </w:r>
      <w:r>
        <w:t xml:space="preserve"> är strikt skyddad enligt EU:s art- och habitatdirektiv och fridlyst enligt §7 Artskyddsförordningen (bilaga 1) vilket innebär att hela dess livsmiljö ska bevaras. Arten är en svensk-norsk endem som förekommer sparsamt till sällsynt i mellersta Norrland, i såväl lågland som fjällnära delar. Den är något kalkgynnad och växer i fuktiga-friska, gärna sluttande och rika skogar, både gran-, bland och björkskogar, i myrkanter samt längs vattendrag och raviner. Skogsrör är känslig för dränering och på dikade lokaler bör hydrologin återställas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