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36585-2025 i Storumans kommun</w:t>
      </w:r>
    </w:p>
    <w:p>
      <w:r>
        <w:t>Detta dokument behandlar höga naturvärden i avverkningsanmälan A 36585-2025 i Storumans kommun. Denna avverkningsanmälan inkom 2025-08-01 10:35:29 och omfattar 20,7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43 naturvårdsarter hittats: urskogsporing (EN), doftticka (VU, §8), fläckporing (VU), gräddporing (VU), knärot (VU, §8), kristallticka (VU), laxgröppa (VU), smalfotad taggsvamp (VU), blanksvart spiklav (NT), blå taggsvamp (NT), blågrå svartspik (NT), gammelgransskål (NT), garnlav (NT), granticka (NT), gröntagging (NT), järpe (NT, §4), kolflarnlav (NT), kådvaxskinn (NT), lunglav (NT), mörk kolflarnlav (NT), nordtagging (NT), orange taggsvamp (NT), rosenticka (NT), skrovellav (NT), spillkråka (NT, §4), stiftgelélav (NT), stjärntagging (NT), svartvit taggsvamp (NT), talltita (NT, §4), tretåig hackspett (NT, §4), ullticka (NT), vedskivlav (NT), vitgrynig nållav (NT), bårdlav (S), dropptaggsvamp (S), grönpyrola (S), luddlav (S), skarp dropptaggsvamp (S), skinnlav (S), spindelblomster (S, §8), stuplav (S), vedticka (S) och lavskrika (§4).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3729"/>
            <wp:docPr id="1" name="Picture 1"/>
            <wp:cNvGraphicFramePr>
              <a:graphicFrameLocks noChangeAspect="1"/>
            </wp:cNvGraphicFramePr>
            <a:graphic>
              <a:graphicData uri="http://schemas.openxmlformats.org/drawingml/2006/picture">
                <pic:pic>
                  <pic:nvPicPr>
                    <pic:cNvPr id="0" name="A 36585-2025 karta.png"/>
                    <pic:cNvPicPr/>
                  </pic:nvPicPr>
                  <pic:blipFill>
                    <a:blip r:embed="rId16"/>
                    <a:stretch>
                      <a:fillRect/>
                    </a:stretch>
                  </pic:blipFill>
                  <pic:spPr>
                    <a:xfrm>
                      <a:off x="0" y="0"/>
                      <a:ext cx="5486400" cy="41537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7217741, E 626332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Gröntagging (NT) </w:t>
      </w:r>
      <w:r>
        <w:t>förekommer i äldre grandominerad blandskog men ekologin är fortfarande något oklar. Dock verkar arten fodra växtplatser med hög luftfuktighet och mycket död ved och kontinuitet i träd- och buskskikt, miljöer som minskar i landskapet. Arten är sällsynt och kan missgynnas av att ett alltför ensidigt skogsbruk gynnar barrträd och att därför näringsrika blandskogar försvinner. Några av artens växtplatser bör skyddas och inventeras för att klarlägga artens ekologi och de lokala populationernas storlek och dynamik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tretåig hackspett (NT, §4), spindelblomster (S, §8)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31 fyndplatser för knärot registrerade på Artportalen. Figur 2 visar gränserna för buffertzoner på 50 m, som behöver lämnas kring fyndplatserna för att knärotslokalerna inte ska försvinna vid en avverkning. Av det avverkningsanmälda området överlappar 10.18 ha med buffertzonerna och får av detta skäl inte avverkas.</w:t>
      </w:r>
    </w:p>
    <w:p>
      <w:pPr>
        <w:pStyle w:val="Caption"/>
      </w:pPr>
      <w:r>
        <w:drawing>
          <wp:inline xmlns:a="http://schemas.openxmlformats.org/drawingml/2006/main" xmlns:pic="http://schemas.openxmlformats.org/drawingml/2006/picture">
            <wp:extent cx="5486400" cy="6421194"/>
            <wp:docPr id="2" name="Picture 2"/>
            <wp:cNvGraphicFramePr>
              <a:graphicFrameLocks noChangeAspect="1"/>
            </wp:cNvGraphicFramePr>
            <a:graphic>
              <a:graphicData uri="http://schemas.openxmlformats.org/drawingml/2006/picture">
                <pic:pic>
                  <pic:nvPicPr>
                    <pic:cNvPr id="0" name="A 36585-2025 karta knärot.png"/>
                    <pic:cNvPicPr/>
                  </pic:nvPicPr>
                  <pic:blipFill>
                    <a:blip r:embed="rId17"/>
                    <a:stretch>
                      <a:fillRect/>
                    </a:stretch>
                  </pic:blipFill>
                  <pic:spPr>
                    <a:xfrm>
                      <a:off x="0" y="0"/>
                      <a:ext cx="5486400" cy="642119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7217741, E 626332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