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58922-2024 i Storumans kommun</w:t>
      </w:r>
    </w:p>
    <w:p>
      <w:r>
        <w:t>Detta klagomål behandlar höga naturvärden i avverkningsanmälan A 58922-2024 i Storumans kommun som inkom 2024-12-09 och omfattar 157,1 ha.</w:t>
      </w:r>
    </w:p>
    <w:p>
      <w:pPr>
        <w:pStyle w:val="Caption"/>
      </w:pPr>
      <w:r>
        <w:drawing>
          <wp:inline xmlns:a="http://schemas.openxmlformats.org/drawingml/2006/main" xmlns:pic="http://schemas.openxmlformats.org/drawingml/2006/picture">
            <wp:extent cx="5486400" cy="2592371"/>
            <wp:docPr id="1" name="Picture 1"/>
            <wp:cNvGraphicFramePr>
              <a:graphicFrameLocks noChangeAspect="1"/>
            </wp:cNvGraphicFramePr>
            <a:graphic>
              <a:graphicData uri="http://schemas.openxmlformats.org/drawingml/2006/picture">
                <pic:pic>
                  <pic:nvPicPr>
                    <pic:cNvPr id="0" name="A 58922-2024 karta.png"/>
                    <pic:cNvPicPr/>
                  </pic:nvPicPr>
                  <pic:blipFill>
                    <a:blip r:embed="rId16"/>
                    <a:stretch>
                      <a:fillRect/>
                    </a:stretch>
                  </pic:blipFill>
                  <pic:spPr>
                    <a:xfrm>
                      <a:off x="0" y="0"/>
                      <a:ext cx="5486400" cy="25923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7255897, E 575816 i SWEREF 99 TM.</w:t>
      </w:r>
    </w:p>
    <w:p>
      <w:r>
        <w:t>I avverkningsanmälan finns fynd av 17 naturvårdsarter, varav 16 är rödlistade, 1 är fridlyst, 14 är typiska (T) och 1 är signalart (S): doftticka (VU, T, §8), garnlav (VU, T), gränsticka (VU, T), ostticka (VU, T), sprickporing (VU), vitskaftad svartspik (VU, T), brunpudrad nållav (NT, T), gammelgransskål (NT, T), harticka (NT, T), knottrig blåslav (NT, T), rosenticka (NT, T), rynkskinn (NT, T), rödbrun blekspik (NT, T), skrovellav (NT, T), ullticka (NT, T), vitgrynig nållav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