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3370-2022 i Storumans kommun</w:t>
      </w:r>
    </w:p>
    <w:p>
      <w:r>
        <w:t>Denna tillsynsbegäran behandlar höga naturvärden i avverkningsanmälan A 3370-2022 i Storumans kommun som inkom 2022-01-24 och omfattar 1,7 ha.</w:t>
      </w:r>
    </w:p>
    <w:p>
      <w:pPr>
        <w:pStyle w:val="Caption"/>
      </w:pPr>
      <w:r>
        <w:drawing>
          <wp:inline xmlns:a="http://schemas.openxmlformats.org/drawingml/2006/main" xmlns:pic="http://schemas.openxmlformats.org/drawingml/2006/picture">
            <wp:extent cx="5472024" cy="5724000"/>
            <wp:docPr id="1" name="Picture 1"/>
            <wp:cNvGraphicFramePr>
              <a:graphicFrameLocks noChangeAspect="1"/>
            </wp:cNvGraphicFramePr>
            <a:graphic>
              <a:graphicData uri="http://schemas.openxmlformats.org/drawingml/2006/picture">
                <pic:pic>
                  <pic:nvPicPr>
                    <pic:cNvPr id="0" name="A 3370-2022 karta.png"/>
                    <pic:cNvPicPr/>
                  </pic:nvPicPr>
                  <pic:blipFill>
                    <a:blip r:embed="rId16"/>
                    <a:stretch>
                      <a:fillRect/>
                    </a:stretch>
                  </pic:blipFill>
                  <pic:spPr>
                    <a:xfrm>
                      <a:off x="0" y="0"/>
                      <a:ext cx="5472024" cy="5724000"/>
                    </a:xfrm>
                    <a:prstGeom prst="rect"/>
                  </pic:spPr>
                </pic:pic>
              </a:graphicData>
            </a:graphic>
          </wp:inline>
        </w:drawing>
      </w:r>
    </w:p>
    <w:p>
      <w:pPr>
        <w:pStyle w:val="Caption"/>
        <w:spacing w:after="240"/>
      </w:pPr>
      <w:r>
        <w:t>Figur 1. Fyndplatser för naturvårdsarter i och inom 20 meter från avverkningsanmälan. Markörer utan svart kant är placerade på fyndplatsen. Markörer med svart kant är placerade vid sidan av fyndplatsen och har ett svart streck som visar fyndplatsens exakta position. Kartans mittpunktskoordinat är N 7261192, E 551358 i SWEREF 99 TM.</w:t>
      </w:r>
    </w:p>
    <w:p>
      <w:r>
        <w:t>I och inom 20 meter från avverkningsanmälan finns fynd av 10 naturvårdsarter, varav 5 är rödlistade, 5 är fridlysta, 6 är typiska (T) och 2 är signalarter (S): garnlav (VU, T), rödbrun blekspik (NT, T), skrovellav (NT, T), talltita (NT, §4), vitgrynig nållav (NT), spindelblomster (S, T, §8), stuplav (S, T), spillkråka (T, §4), skogsrör (§7) och revlummer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Rödbrun blekspik (NT)</w:t>
      </w:r>
      <w:r>
        <w:t xml:space="preserve"> växer i norra Sverige på bark och ved av björk och gran i skogar med hög och jämn luftfuktighet. I södra Sverige växer den främst på ek i öppna åldriga lövskogar. I norra delen av sitt utbredningsområde hotas arten av slutavverkningar av gamla granskogar. I den södra delen av landet hotas den genom de åldriga lövskogarnas tillbakagång och särskilt ekhagarnas igenväxning och genom plantering av sådan mark med barrskog. Rödbrun blekspik är typisk art för </w:t>
      </w:r>
      <w:r>
        <w:rPr>
          <w:i/>
        </w:rPr>
        <w:t xml:space="preserve">9010 Taiga, 9020 Nordlig ädellövskog, 9070 Trädklädd betesmark, 9160 Näringsrik ekskog </w:t>
      </w:r>
      <w:r>
        <w:t xml:space="preserve">och </w:t>
      </w:r>
      <w:r>
        <w:rPr>
          <w:i/>
        </w:rPr>
        <w:t>9180 Ädellövskog i branter</w:t>
      </w:r>
      <w:r>
        <w:t xml:space="preserve"> och signalerar alltid höga naturvärden (SLU Artdatabanken, 2024; Nitare &amp; Skogsstyrelsen, 2019).</w:t>
      </w:r>
    </w:p>
    <w:p>
      <w:r>
        <w:rPr>
          <w:b/>
        </w:rPr>
        <w:t>Skrovellav (NT)</w:t>
      </w:r>
      <w:r>
        <w:t xml:space="preserve"> växer på gamla lövträd och på klippor i gamla skogar med hög och jämn luftfuktighet. Slutavverkning av kontinuitetsskog utgör det största hotet och lavens fortsatta förekomst bör säkerställas genom att lokaler med äldre skog skyddas. I områden med mycket hög luftfuktighet kan man på bålen av skrovellav finna de sällsynta parasitsvamparna skrovellavsknapp (EN), </w:t>
      </w:r>
      <w:r>
        <w:rPr>
          <w:i/>
        </w:rPr>
        <w:t>Catillaria lobariicola</w:t>
      </w:r>
      <w:r>
        <w:t xml:space="preserve"> (VU) och </w:t>
      </w:r>
      <w:r>
        <w:rPr>
          <w:i/>
        </w:rPr>
        <w:t>Merismatium lobariae</w:t>
      </w:r>
      <w:r>
        <w:t xml:space="preserve"> (DD). Skrovellav är typisk art för </w:t>
      </w:r>
      <w:r>
        <w:rPr>
          <w:i/>
        </w:rPr>
        <w:t xml:space="preserve">9010 Taiga, 9020 Nordlig ädellövskog, 9040 Fjällbjörkskog, 9070 Trädklädd betesmark, 9160 Näringsrik ekskog, 9180 Ädellövskog i branter, 9190 Näringsfattig ekskog, 8210 Kalkbranter </w:t>
      </w:r>
      <w:r>
        <w:t xml:space="preserve">och </w:t>
      </w:r>
      <w:r>
        <w:rPr>
          <w:i/>
        </w:rPr>
        <w:t>6530 Lövängar</w:t>
      </w:r>
      <w:r>
        <w:t xml:space="preserve"> (SLU Artdatabanken, 2026;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Spindelblomster (§8)</w:t>
      </w:r>
      <w:r>
        <w:t xml:space="preserve"> växer i äldre mossrik granskog eller barrblandskog, men även i fjällbjörkskog. Arten indikerar långvarig trädkontinuitet och hög luftfuktighet och är mycket känslig för uttorkning och markskador. Spindelblomster har i många trakter minskat starkt under senare tid på grund av slutavverkningar och skogsmarksdikning. Spindelblomster är typisk art för </w:t>
      </w:r>
      <w:r>
        <w:rPr>
          <w:i/>
        </w:rPr>
        <w:t xml:space="preserve">9010 Taiga, 9050 Näringsrik granskog </w:t>
      </w:r>
      <w:r>
        <w:t>och</w:t>
      </w:r>
      <w:r>
        <w:rPr>
          <w:i/>
        </w:rPr>
        <w:t xml:space="preserve"> 9040 Fjällbjörkskog</w:t>
      </w:r>
      <w:r>
        <w:t xml:space="preserve"> (Nitare &amp; Skogsstyrelsen, 2019; SLU Artdatabanken, 2025).</w:t>
      </w:r>
    </w:p>
    <w:p>
      <w:r>
        <w:rPr>
          <w:b/>
        </w:rPr>
        <w:t>Stuplav</w:t>
      </w:r>
      <w:r>
        <w:t xml:space="preserve"> är en mycket bra signalart i hela sitt utbredningsområde och förekommer nästan enbart i skogsmiljöer med höga naturvärden. Den indikerar långvarig förekomst av gamla lövträd och miljöer med konstant hög luftfuktighet. I skogar med suboceaniskt klimat finns det en mycket sällsynt parasit, njurlavsknapp </w:t>
      </w:r>
      <w:r>
        <w:rPr>
          <w:i/>
        </w:rPr>
        <w:t>Pletocarpon nephromeum</w:t>
      </w:r>
      <w:r>
        <w:t xml:space="preserve"> (EN), som växer på stuplav. Ytterligare tre sällsynta lavparasiter, </w:t>
      </w:r>
      <w:r>
        <w:rPr>
          <w:i/>
        </w:rPr>
        <w:t>Protounguicularia nephromatis</w:t>
      </w:r>
      <w:r>
        <w:t xml:space="preserve"> (VU), </w:t>
      </w:r>
      <w:r>
        <w:rPr>
          <w:i/>
        </w:rPr>
        <w:t>Refractohilum galligenum</w:t>
      </w:r>
      <w:r>
        <w:t xml:space="preserve"> (NT) och </w:t>
      </w:r>
      <w:r>
        <w:rPr>
          <w:i/>
        </w:rPr>
        <w:t>Roselliniella nephromatis</w:t>
      </w:r>
      <w:r>
        <w:t xml:space="preserve"> (DD), kan också påträffas på stuplav. Stuplav är typisk art för </w:t>
      </w:r>
      <w:r>
        <w:rPr>
          <w:i/>
        </w:rPr>
        <w:t>9010 Taiga</w:t>
      </w:r>
      <w:r>
        <w:t xml:space="preserve"> (SLU Artdatabanken, 2026; Nitare &amp; Skogsstyrelsen, 2019).</w:t>
      </w:r>
    </w:p>
    <w:p>
      <w:r>
        <w:rPr>
          <w:b/>
        </w:rPr>
        <w:t>Spillkråka (§4)</w:t>
      </w:r>
      <w:r>
        <w:t xml:space="preserve"> omfattas av bilaga 1 i EU:s fågeldirektiv och är typisk art för </w:t>
      </w:r>
      <w:r>
        <w:rPr>
          <w:i/>
        </w:rPr>
        <w:t xml:space="preserve">9010 Taiga </w:t>
      </w:r>
      <w:r>
        <w:t>och</w:t>
      </w:r>
      <w:r>
        <w:rPr>
          <w:i/>
        </w:rPr>
        <w:t xml:space="preserve"> 9740 Skogsbevuxen myr</w:t>
      </w:r>
      <w:r>
        <w:t>. Den behöver grova träd, främst tall, asp och bok som boträd. Skogsbruk med korta omloppstider och täta, homogena ungskogar utgör det största hotet. 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(SLU Artdatabanken, 2026; Skogsstyrelsen, 2016).</w:t>
      </w:r>
    </w:p>
    <w:p>
      <w:r>
        <w:rPr>
          <w:b/>
        </w:rPr>
        <w:t>Skogsrör (§7)</w:t>
      </w:r>
      <w:r>
        <w:t xml:space="preserve"> är strikt skyddad enligt EU:s art- och habitatdirektiv och fridlyst enligt §7 Artskyddsförordningen (bilaga 1) vilket innebär att hela dess livsmiljö ska bevaras. Arten är en svensk-norsk endem som förekommer sparsamt till sällsynt i mellersta Norrland, i såväl lågland som fjällnära delar. Den är något kalkgynnad och växer i fuktiga-friska, gärna sluttande och rika skogar, både gran-, bland och björkskogar, i myrkanter samt längs vattendrag och raviner. Skogsrör är känslig för dränering och på dikade lokaler bör hydrologin återställas (SLU Artdatabanken, 2024).</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rödbrun blekspik (NT, T), skrovellav (NT, T), spindelblomster (S, T, §8), stuplav (S, T) och spillkråka (T, §4).</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Spillkråka – ekologi samt krav på livsmiljön</w:t>
      </w:r>
    </w:p>
    <w:p>
      <w:r>
        <w:t xml:space="preserve">Spillkråka (§4) ingår i bilaga 1 EU:s fågeldirektiv och är typisk art för </w:t>
      </w:r>
      <w:r>
        <w:rPr>
          <w:i/>
        </w:rPr>
        <w:t xml:space="preserve">9010 Taiga </w:t>
      </w:r>
      <w:r>
        <w:t>och</w:t>
      </w:r>
      <w:r>
        <w:rPr>
          <w:i/>
        </w:rPr>
        <w:t xml:space="preserve"> 9740 Skogsbevuxen myr</w:t>
      </w:r>
      <w:r>
        <w:t>. Den lever i både barr- och blandskog liksom i ren lövskog. De tätaste populationerna tenderar att finnas i äldre, variationsrik blandskog med gott om död ved och gamla träd. Varje par utnyttjar 400–1000 hektar skog beroende på skogens kvalitet. Skogsbruk med korta omloppstider och täta, homogena ungskogar utgör det största hotet (SLU Artdatabanken, 2026).</w:t>
      </w:r>
    </w:p>
    <w:p>
      <w:r>
        <w:t>Spillkråka är en nyckelart i skogliga miljöer vars övergivna bohål utnyttjas av flera andra hålhäckande fågelarter och fladdermöss, däribland pärluggla (EN, §4), knipa (§4), salskrake (§4) och skogsduva (§4). Hökuggla (VU, §4) och slaguggla (§4) häckar ofta i högstubbar som brutits av i höjd med ett gammalt spillkråkebo (Skogsstyrelsen, 2016).</w:t>
      </w:r>
    </w:p>
    <w:p>
      <w:pPr>
        <w:pStyle w:val="Heading2"/>
      </w:pPr>
      <w:r>
        <w:t>Referenser – spillkråka</w:t>
      </w:r>
    </w:p>
    <w:p>
      <w:r>
        <w:t xml:space="preserve">Skogsstyrelsen, 2016. </w:t>
      </w:r>
      <w:r>
        <w:rPr>
          <w:i/>
        </w:rPr>
        <w:t xml:space="preserve">Vägledning för hänsyn till spillkråka. </w:t>
      </w:r>
      <w:r>
        <w:t>Vägledningar och kunskapsstöd artskydd – Skogsstyrelsen.</w:t>
      </w:r>
    </w:p>
    <w:p>
      <w:r>
        <w:t xml:space="preserve">SLU Artdatabanken, 2026. </w:t>
      </w:r>
      <w:r>
        <w:rPr>
          <w:i/>
        </w:rPr>
        <w:t xml:space="preserve">Artfaktablad. Naturvård – artfakta. </w:t>
      </w:r>
      <w:r>
        <w:t>SLU Artdatabanken, Uppsala.</w:t>
      </w:r>
    </w:p>
    <w:p>
      <w:r>
        <w:br w:type="page"/>
      </w:r>
    </w:p>
    <w:p>
      <w:pPr>
        <w:pStyle w:val="Title"/>
      </w:pPr>
      <w:r>
        <w:t>BILAGA 2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