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27558-2024 i Storumans kommun</w:t>
      </w:r>
    </w:p>
    <w:p>
      <w:r>
        <w:t>Detta klagomål behandlar höga naturvärden i avverkningsanmälan A 27558-2024 i Storumans kommun som inkom 2024-07-01 och omfattar 5,7 ha.</w:t>
      </w:r>
    </w:p>
    <w:p>
      <w:pPr>
        <w:pStyle w:val="Caption"/>
      </w:pPr>
      <w:r>
        <w:drawing>
          <wp:inline xmlns:a="http://schemas.openxmlformats.org/drawingml/2006/main" xmlns:pic="http://schemas.openxmlformats.org/drawingml/2006/picture">
            <wp:extent cx="5486400" cy="4351413"/>
            <wp:docPr id="1" name="Picture 1"/>
            <wp:cNvGraphicFramePr>
              <a:graphicFrameLocks noChangeAspect="1"/>
            </wp:cNvGraphicFramePr>
            <a:graphic>
              <a:graphicData uri="http://schemas.openxmlformats.org/drawingml/2006/picture">
                <pic:pic>
                  <pic:nvPicPr>
                    <pic:cNvPr id="0" name="A 27558-2024 karta.png"/>
                    <pic:cNvPicPr/>
                  </pic:nvPicPr>
                  <pic:blipFill>
                    <a:blip r:embed="rId16"/>
                    <a:stretch>
                      <a:fillRect/>
                    </a:stretch>
                  </pic:blipFill>
                  <pic:spPr>
                    <a:xfrm>
                      <a:off x="0" y="0"/>
                      <a:ext cx="5486400" cy="43514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7222665, E 606320 i SWEREF 99 TM.</w:t>
      </w:r>
    </w:p>
    <w:p>
      <w:r>
        <w:t>I och inom 25 meter från avverkningsanmälan finns fynd av 9 naturvårdsarter, varav 6 är rödlistade, 4 är fridlysta och 7 är typiska (T): garnlav (VU, T), knottrig blåslav (NT, T), kolflarnlav (NT, T), mörk kolflarnlav (NT), tretåig hackspett (NT, T, §4), vedskivlav (NT, T), järpe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