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59219-2022 i Storumans kommun</w:t>
      </w:r>
    </w:p>
    <w:p>
      <w:r>
        <w:t>Denna tillsynsbegäran behandlar höga naturvärden i avverkningsanmälan A 59219-2022 i Storumans kommun som inkom 2022-12-09 och omfattar 15,6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59219-2022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7215843, E 636473 i SWEREF 99 TM.</w:t>
      </w:r>
    </w:p>
    <w:p>
      <w:r>
        <w:t>I och inom 8 meter från avverkningsanmälan finns fynd av 20 naturvårdsarter, varav 15 är rödlistade, 5 är fridlysta, 13 är typiska (T) och 3 är signalarter (S): doftticka (VU, T, §8), fläckporing (VU, T), garnlav (VU, T), mörk kådsvartspik (VU), blanksvart spiklav (NT), blågrå svartspik (NT), kolflarnlav (NT, T), kortskaftad ärgspik (NT), lavskrika (NT, T, §4), lunglav (NT, T), mörk kolflarnlav (NT), skrovellav (NT, T), talltita (NT, §4), vedskivlav (NT, T), vitgrynig nållav (NT), barkticka (S, T), luddlav (S, T), stuplav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fläckporing (VU, T), garnlav (VU, T), kolflarnlav (NT, T), lavskrika (NT, T, §4), lunglav (NT, T), skrovellav (NT, T), vedskivlav (NT, T), barkticka (S, T), luddlav (S,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