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36585-2025 i Storumans kommun</w:t>
      </w:r>
    </w:p>
    <w:p>
      <w:r>
        <w:t>Detta klagomål behandlar höga naturvärden i avverkningsanmälan A 36585-2025 i Storumans kommun som inkom 2025-08-01 och omfattar 20,7 ha.</w:t>
      </w:r>
    </w:p>
    <w:p>
      <w:pPr>
        <w:pStyle w:val="Caption"/>
      </w:pPr>
      <w:r>
        <w:drawing>
          <wp:inline xmlns:a="http://schemas.openxmlformats.org/drawingml/2006/main" xmlns:pic="http://schemas.openxmlformats.org/drawingml/2006/picture">
            <wp:extent cx="5486400" cy="3982396"/>
            <wp:docPr id="1" name="Picture 1"/>
            <wp:cNvGraphicFramePr>
              <a:graphicFrameLocks noChangeAspect="1"/>
            </wp:cNvGraphicFramePr>
            <a:graphic>
              <a:graphicData uri="http://schemas.openxmlformats.org/drawingml/2006/picture">
                <pic:pic>
                  <pic:nvPicPr>
                    <pic:cNvPr id="0" name="A 36585-2025 karta.png"/>
                    <pic:cNvPicPr/>
                  </pic:nvPicPr>
                  <pic:blipFill>
                    <a:blip r:embed="rId16"/>
                    <a:stretch>
                      <a:fillRect/>
                    </a:stretch>
                  </pic:blipFill>
                  <pic:spPr>
                    <a:xfrm>
                      <a:off x="0" y="0"/>
                      <a:ext cx="5486400" cy="3982396"/>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och har ett svart streck som visar fyndplatsens exakta position. Kartans mittpunktskoordinat är N 7217741, E 626332 i SWEREF 99 TM.</w:t>
      </w:r>
    </w:p>
    <w:p>
      <w:r>
        <w:t>I och inom 25 meter från avverkningsanmälan finns fynd av 49 naturvårdsarter, varav 37 är rödlistade, 11 är fridlysta, 30 är typiska (T) och 7 är signalarter (S): urskogsporing (EN), doftticka (VU, T, §8), fläckporing (VU, T), garnlav (VU, T), gräddporing (VU, T), knärot (VU, T, §8), kristallticka (VU), laxgröppa (VU), smalfotad taggsvamp (VU), blanksvart spiklav (NT), blå taggsvamp (NT, T), blågrå svartspik (NT), dropptaggsvamp (NT, T), dvärgbägarlav (NT, T), gammelgransskål (NT, T), gröntagging (NT), harticka (NT, T), kolflarnlav (NT, T), kådvaxskinn (NT), lavskrika (NT, T, §4), liten svartspik (NT), lunglav (NT, T), mörk kolflarnlav (NT), nordtagging (NT), orange taggsvamp (NT, T), rosenticka (NT, T), skarp dropptaggsvamp (NT), skrovellav (NT, T), stiftgelélav (NT, T), stjärntagging (NT, T), svartvit taggsvamp (NT), talltita (NT, §4), tretåig hackspett (NT, T, §4), ullticka (NT, T), vedflamlav (NT), vedskivlav (NT, T), vitgrynig nållav (NT), bårdlav (S, T), grönpyrola (S, T), luddlav (S, T), skinnlav (S, T), spindelblomster (S, T, §8), stuplav (S, T), vedticka (S, T), järpe (T, §4), spillkråka (T, §4), svartvit flugsnappare (§4), fläcknycklar (§8)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Urskogsporing (EN)</w:t>
      </w:r>
      <w:r>
        <w:t xml:space="preserve"> är en starkt hotad art som växer på lågor av barrträd, företrädesvis tall, mer sällan gran. Den är hittills bara påträffad i äldre skogsbestånd med tydlig naturskogskaraktär. Urskogsporingen är förmodligen gynnad av brand och den typ av ved som arten växer på nyskapas knappast alls i modernt skogsbruk. Kända lokaler måste skyddas och undantas från skogsbruk (SLU Artdatabanken, 2024).</w:t>
      </w:r>
    </w:p>
    <w:p>
      <w:r>
        <w:rPr>
          <w:b/>
        </w:rPr>
        <w:t>Doftticka (VU, §8)</w:t>
      </w:r>
      <w:r>
        <w:t xml:space="preserve"> är rödlistad som sårbar (VU) och fridlyst enligt 8§ artskyddsförordningen. Den är även globalt rödlistad som Nära hotad (NT) vilket innebär att Sverige har ett internationellt ansvar för arten. Doftticka är beroende av hög och jämn luftfuktighet i gamla, ostörda skogsmiljöer och är känslig för snabba förändringar av ljus-/vindförhållanden eller uttorkning. Dofttickan är placerad i toppen av Skogsstyrelsens värdepyramid för bedömning av skog med höga naturvärden och signalerar alltid gamla sälgar och skogsområden med höga naturvärden. Avverkning av värdträd (främst sälg) utgör det största hotet och när gamla och olikåldriga skogar med sälg avverkas försvinner oftast sälgen. Dofttickan har minskat med ca 30 % under de senaste 30 åren och är typisk art för </w:t>
      </w:r>
      <w:r>
        <w:rPr>
          <w:i/>
        </w:rPr>
        <w:t>9010 Taiga</w:t>
      </w:r>
      <w:r>
        <w:t xml:space="preserve"> och</w:t>
      </w:r>
      <w:r>
        <w:rPr>
          <w:i/>
        </w:rPr>
        <w:t xml:space="preserve"> 9050 Näringsrik granskog </w:t>
      </w:r>
      <w:r>
        <w:t>(IUCN Redlist, 2024; Nitare &amp; Skogsstyrelsen, 2019; SLU Artdatabanken, 2024).</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34 fyndplatser för knärot registrerade på Artportalen. Figur 2 visar gränserna för buffertzoner på 50 m, som behöver lämnas kring fyndplatserna för att knärotslokalerna inte ska försvinna vid en avverkning. Av det avverkningsanmälda området överlappar 10.32 ha med buffertzonerna och får av detta skäl inte avverkas.</w:t>
      </w:r>
    </w:p>
    <w:p>
      <w:pPr>
        <w:pStyle w:val="Caption"/>
      </w:pPr>
      <w:r>
        <w:drawing>
          <wp:inline xmlns:a="http://schemas.openxmlformats.org/drawingml/2006/main" xmlns:pic="http://schemas.openxmlformats.org/drawingml/2006/picture">
            <wp:extent cx="5486400" cy="6422134"/>
            <wp:docPr id="2" name="Picture 2"/>
            <wp:cNvGraphicFramePr>
              <a:graphicFrameLocks noChangeAspect="1"/>
            </wp:cNvGraphicFramePr>
            <a:graphic>
              <a:graphicData uri="http://schemas.openxmlformats.org/drawingml/2006/picture">
                <pic:pic>
                  <pic:nvPicPr>
                    <pic:cNvPr id="0" name="A 36585-2025 karta knärot.png"/>
                    <pic:cNvPicPr/>
                  </pic:nvPicPr>
                  <pic:blipFill>
                    <a:blip r:embed="rId17"/>
                    <a:stretch>
                      <a:fillRect/>
                    </a:stretch>
                  </pic:blipFill>
                  <pic:spPr>
                    <a:xfrm>
                      <a:off x="0" y="0"/>
                      <a:ext cx="5486400" cy="6422134"/>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7217741, E 626332 i SWEREF 99 TM.</w:t>
      </w:r>
    </w:p>
    <w:p>
      <w:r>
        <w:rPr>
          <w:b/>
        </w:rPr>
        <w:t>Kristallticka (VU)</w:t>
      </w:r>
      <w:r>
        <w:t xml:space="preserve"> är en mycket krävande art som växer i urskogsartade barrnaturskogar där det finns rikligt med grov död ved i olika nedbrytningsstadier. Den är placerad högst upp i Skogsstyrelsens värdepyramid för bedömning av skog med höga naturvärden och är en av våra främsta naturvärdesindikatorer på skyddsvärda barrnaturskogar. Alla skogsskötselåtgärder på eller i omedelbar närhet av lokalerna påverkar arten negativt liksom den minskande andelen död ved i kulturskogarna (SLU Artdatabanken, 2024; Nitare &amp; Skogsstyrelsen, 2019).</w:t>
      </w:r>
    </w:p>
    <w:p>
      <w:r>
        <w:rPr>
          <w:b/>
        </w:rPr>
        <w:t>Laxgröppa (VU)</w:t>
      </w:r>
      <w:r>
        <w:t xml:space="preserve"> är en riktig urskogssvamp som påträffas på grova, starkt murkna, ofta brandskadade liggande stammar av tall, sällan gran i gammal barrskog. Arten missgynnas av skogsbruk och merparten av lokalerna bör skyddas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 xml:space="preserve">Gröntagging (NT) </w:t>
      </w:r>
      <w:r>
        <w:t>förekommer i äldre grandominerad blandskog men ekologin är fortfarande något oklar. Dock verkar arten fodra växtplatser med hög luftfuktighet och mycket död ved och kontinuitet i träd- och buskskikt, miljöer som minskar i landskapet. Arten är sällsynt och kan missgynnas av att ett alltför ensidigt skogsbruk gynnar barrträd och att därför näringsrika blandskogar försvinner. Några av artens växtplatser bör skyddas och inventeras för att klarlägga artens ekologi och de lokala populationernas storlek och dynamik (SLU Artdatabanken, 2024).</w:t>
      </w:r>
    </w:p>
    <w:p>
      <w:r>
        <w:rPr>
          <w:b/>
        </w:rPr>
        <w:t>Harticka (NT)</w:t>
      </w:r>
      <w:r>
        <w:t xml:space="preserve"> är normalt en mycket bra signalart för granskogar med höga naturvärden. Även när svampen påträffas i mer påverkade skogar är det nästan alltid fråga om skogsmiljöer i sena successionsstadier med höga naturvärden. Skogsskötselåtgärder på eller i omedelbar närhet av växtplatserna kan innebära ett hot mot arten. Harticka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Kådvaxskinn (NT)</w:t>
      </w:r>
      <w:r>
        <w:t xml:space="preserve"> är en nedbrytare på grova lågor av tall eller gran i det förmultningsstadium då barken fallit av. Arten tillhör den boreala blåbärsbarrskogens vedsvampssamhälle och hittas främst i naturskogsartad eller plockhuggen skog med mycket död ved. Arten hotas av avverkning av äldre barrskog. Den typ av vedkvalité som arten fordrar nyskapas i alltför liten omfattning i produktionsskog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Liten svartspik (NT)</w:t>
      </w:r>
      <w:r>
        <w:t xml:space="preserve"> växer på granbark i boreala barrskogar med lång trädkontinuitet och hög luftfuktighet. Orsaken till tillbakagången beror på främst på slutavverkningar av naturskogsartade granskogar. Bestånd med riklig förekomst av liten svartspik bör regelmässigt sparas. Naturhänsyn i samband med slutavverkning måste ske så att man undviker uttorkningseffekter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Skarp dropptaggsvamp (NT) </w:t>
      </w:r>
      <w:r>
        <w:t>bildar mykorrhiza med både gran och tall, främst i barrskogar med trädkontinuitet. Arten uppträder dels i näringsrik kalkbarrskog och dels i sur lavtallskog. Kalkbarrskogarna är ofta grandominerade, olikåldriga och skiktade på frisk mark med ett örtrikt vegetationsskikt. Lavtallskogarna är i regel magra, torra, ljusöppna och ofta brandpräglade. Den totala populationen i landet har minskat och bedöms fortsätta minska till följd av avverkning av äldre barrskogar. Arten har begränsad förmåga att återetablera sig efter slutavverkning eller andra storskaliga skogsbruksåtgärder. Det saknas indikationer på att arten långsiktigt kan etablera eller reproducera sig i skogsbestånd som brukas med metoder som trakthyggesbruk, markberedning, gödsling eller föryngring med förädlat plantmaterial. Minskningstakten för den svenska populationen bedöms vara nära gränsvärdet för Sårbar (VU) (SLU Artdatabanken, 2026).</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Stiftgelélav (NT)</w:t>
      </w:r>
      <w:r>
        <w:t xml:space="preserve"> växer på gamla aspar och sälgar i blandskogar med hög luftfuktighet. Slutavverkning och vedhuggning är de största hoten och lokaler bör undantas från rationell skogsskötsel. På lång sikt måste inslaget av asp öka i svensk skog. Stiftgelélav är typisk art för </w:t>
      </w:r>
      <w:r>
        <w:rPr>
          <w:i/>
        </w:rPr>
        <w:t>9010 Taiga</w:t>
      </w:r>
      <w:r>
        <w:t xml:space="preserve"> (SLU Artdatabanken, 2024).</w:t>
      </w:r>
    </w:p>
    <w:p>
      <w:r>
        <w:rPr>
          <w:b/>
        </w:rPr>
        <w:t>Stjärntagging (NT)</w:t>
      </w:r>
      <w:r>
        <w:t xml:space="preserve"> signalerar inom hela sitt utbredningsområde höga naturvärden. Svampen är uttorkningskänslig och beroende av ett oförändrat fuktigt mikroklimat. Den är även beroende av en ständig tillgång på död ved i olika nedbrytningsstadier, dock ej nödvändigtvis grova träd. Tidigare påverkan på miljön måste dock ha varit så skonsam att det naturliga skogsekosystemet till stora delar har bevarats. Minskningstakten för den svenska populationen bedöms vara nära gränsvärdet för Sårbar (VU). Stjärntagging är typisk art för </w:t>
      </w:r>
      <w:r>
        <w:rPr>
          <w:i/>
        </w:rPr>
        <w:t xml:space="preserve">9010 Taiga, 9050 Näringsrik granskog </w:t>
      </w:r>
      <w:r>
        <w:t xml:space="preserve">och </w:t>
      </w:r>
      <w:r>
        <w:rPr>
          <w:i/>
        </w:rPr>
        <w:t>9030 Landhöjningsskog</w:t>
      </w:r>
      <w:r>
        <w:t xml:space="preserve"> (SLU Artdatabanken, 2024; Nitare &amp; Skogsstyrelsen, 2019).</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6.4.1 </w:t>
      </w:r>
      <w:r>
        <w:t>Följande biotoper undantas från alla skogsbruksåtgärder, förutom åtgärder påkallade för att bevara eller främja biotopens naturliga eller hävdbetingade biologiska mångfald:</w:t>
      </w:r>
    </w:p>
    <w:p>
      <w:pPr>
        <w:ind w:left="357"/>
      </w:pPr>
      <w:r>
        <w:t>b) nyckelbiotoper enligt Skogsstyrelsens definition och metod (1995)</w:t>
      </w:r>
    </w:p>
    <w:p>
      <w:pPr>
        <w:pStyle w:val="ListBullet"/>
      </w:pPr>
      <w:r>
        <w:rPr>
          <w:b/>
          <w:i/>
        </w:rPr>
        <w:t xml:space="preserve">Kommentar: </w:t>
      </w:r>
      <w:r>
        <w:rPr>
          <w:i/>
        </w:rPr>
        <w:t>I det avverkningsanmälda skogsområdet har 44 rödlistade arter och signalarter påträffats. Detta ska jämföras med Skogsstyrelsens uppföljning 2017 av nyckelbiotoper som visade att man i genomsnitt hittar 20,6 olika rödlistade arter och signalarter i en nyckelbiotop (Wijk, S. 2017. Biologisk mångfald i nyckelbiotoper – Resultat från inventeringen “Uppföljning biologisk mångfald” 2009–2015. Rapport 4/2017 Skogsstyrelsen, Jönköping).</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49 naturvårdsarter varav 37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