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42930-2020 i Storumans kommun</w:t>
      </w:r>
    </w:p>
    <w:p>
      <w:r>
        <w:t>Detta dokument behandlar höga naturvärden i avverkningsanmälan A 42930-2020 i Storumans kommun. Denna avverkningsanmälan inkom 2020-09-04 och omfattar 3,1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 I BILAGA 1 finns artfakta om fridlysta och rödlistade arter.</w:t>
      </w:r>
    </w:p>
    <w:p>
      <w:pPr>
        <w:pStyle w:val="Heading1"/>
      </w:pPr>
      <w:r>
        <w:t>Naturvårdsarter</w:t>
      </w:r>
    </w:p>
    <w:p>
      <w:r>
        <w:t>I avverkningsanmälan har följande 7 naturvårdsarter hittats: garnlav (NT), kolflarnlav (NT), lunglav (NT), tretåig hackspett (NT, §4), vitgrynig nållav (NT), dropptaggsvamp (S) och stuplav (S). Av dessa är 5 rödlistade. För rödlistade arter har rödlistekategorin angivits inom parentes.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2651989"/>
            <wp:docPr id="1" name="Picture 1"/>
            <wp:cNvGraphicFramePr>
              <a:graphicFrameLocks noChangeAspect="1"/>
            </wp:cNvGraphicFramePr>
            <a:graphic>
              <a:graphicData uri="http://schemas.openxmlformats.org/drawingml/2006/picture">
                <pic:pic>
                  <pic:nvPicPr>
                    <pic:cNvPr id="0" name="A 42930-2020 karta.png"/>
                    <pic:cNvPicPr/>
                  </pic:nvPicPr>
                  <pic:blipFill>
                    <a:blip r:embed="rId16"/>
                    <a:stretch>
                      <a:fillRect/>
                    </a:stretch>
                  </pic:blipFill>
                  <pic:spPr>
                    <a:xfrm>
                      <a:off x="0" y="0"/>
                      <a:ext cx="5486400" cy="2651989"/>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7219835, E 616204 i SWEREF 99 TM.</w:t>
      </w:r>
    </w:p>
    <w:p>
      <w:r>
        <w:rPr>
          <w:b/>
        </w:rPr>
        <w:t>Garnlav (NT)</w:t>
      </w:r>
      <w:r>
        <w:t xml:space="preserve"> är en utpräglad barrskogsart som ibland kan drapera träden i norrländska grannaturskogar med hög luftfuktighet. Den förekommer även i talldominerade bestånd där den, förutom i trädens grenverk, påträffas hängande över ojämnheter i tallbarken. Arten har minskat starkt i södra och mellersta Sverige och den minskar även i sitt nordliga utbredningsområde. Orsaken till tillbakagången beror främst på slutavverkningar av naturskogsartade skogar. Bestånd med riklig förekomst bör regelmässigt sparas. Garnlav är värdväxt för den mycket sällsynta och akut hotade fjärilen barrskogslavfly (CR) som hör hemma i boreala barrskogar med riklig förekomst av värdväxten. Tidigare kunde arten konstateras årligen på flera platser vid Dala-Floda i Dalarna innan lokalerna kalavverkades. Senaste fyndet i landet av barrskogslavfly är från år 2000 då den påträffades vid Högberget i Sollefteå kommun (SLU Artdatabanken, 2024).</w:t>
      </w:r>
    </w:p>
    <w:p>
      <w:r>
        <w:rPr>
          <w:b/>
        </w:rPr>
        <w:t>Kolflarnlav (NT)</w:t>
      </w:r>
      <w:r>
        <w:t xml:space="preserve"> är brandberoende och växer nästan uteslutande på kolad hård kärnved av tall. Etableringen verkar ske först 100–300 år efter brand och nytt substrat nybildas i mycket begränsad omfattning. Avverkning av tallskog av naturskogskaraktär med spår av återkommande bränder är ett hot och mängden lämplig ved att växa på för arten minskar dels på grund av naturlig nedbrytning men framförallt på grund av att det förstörs i samband med slutavverkningar, gallringar och markberedning. Såväl kolflarnlav som mörk kolflarnlav har glänsande bålfjäll och förekommer främst i tall- och blandbarrskogar av naturskogskaraktär med spår av återkommande bränder. Skogar som dessa hyser höga biologiska värden och bör skyddas (SLU Artdatabanken, 2024).</w:t>
      </w:r>
    </w:p>
    <w:p>
      <w:r>
        <w:rPr>
          <w:b/>
        </w:rPr>
        <w:t>Lunglav (NT)</w:t>
      </w:r>
      <w:r>
        <w:t xml:space="preserve"> är en av vårt lands främsta signalarter som överallt indikerar gamla lövträd, skogsbestånd med höga naturvärden och ekosystem med lång skoglig kontinuitet. Lokalt kan förekomsten vara mycket riklig men den hittas nästan enbart i gamla och ej slutavverkade skogar. Artens samtliga förekomster bör uppmärksammas från naturvårdssynpunkt, då många lokaler även hyser andra ovanliga och rödlistade arter. Rikliga förekomster bör skyddas med biotopskydd, frivilliga avsättningar eller reservat (SLU Artdatabanken, 2024; Nitare &amp; Skogsstyrelsen, 2019).</w:t>
      </w:r>
    </w:p>
    <w:p>
      <w:r>
        <w:rPr>
          <w:b/>
        </w:rPr>
        <w:t>Stuplav</w:t>
      </w:r>
      <w:r>
        <w:t xml:space="preserve"> är en mycket bra signalart i hela sitt utbredningsområde och förekommer nästan enbart i skogsmiljöer med höga naturvärden. Den indikerar långvarig förekomst av gamla lövträd och miljöer med konstant hög luftfuktighet. I skogar med suboceaniskt klimat finns det en mycket sällsynt parasit, njurlavsknapp </w:t>
      </w:r>
      <w:r>
        <w:rPr>
          <w:i/>
        </w:rPr>
        <w:t>Pletocarpon nephromeum</w:t>
      </w:r>
      <w:r>
        <w:t xml:space="preserve"> (EN), som växer på stuplav (SLU Artdatabanken, 2024; Nitare &amp; Skogsstyrelsen, 2019).</w:t>
      </w:r>
    </w:p>
    <w:p>
      <w:r>
        <w:rPr>
          <w:b/>
        </w:rPr>
        <w:t>Vitgrynig nållav (NT)</w:t>
      </w:r>
      <w:r>
        <w:t xml:space="preserve"> växer nästan uteslutande på bark av gamla, senvuxna granar i skuggiga lägen med hög och jämn luftfuktighet. Den vanligaste naturtypen för arten är kontinuitetsskogar på frisk mark men den finns också i sumpgranskogar. På lång sikt utgör avverkningar av olikåldriga granskogar av naturskogskaraktär ett allvarligt hot mot arten och skogsbruksåtgärder på eller i närheten av växtplatserna bör undvikas. Naturskogsartade, fuktiga granskogar med förekomster av arten signalerar höga biologiska värden och bör bevaras (SLU Artdatabanken, 2024; Nitare &amp; Skogsstyrelsen, 2019).</w:t>
      </w:r>
    </w:p>
    <w:p>
      <w:pPr>
        <w:pStyle w:val="Heading1"/>
      </w:pPr>
      <w:r>
        <w:t>Fridlysta arter</w:t>
      </w:r>
    </w:p>
    <w:p>
      <w:r>
        <w:t>Följande fridlysta arter har sina livsmiljöer och växtplatser i den avverkningsanmälda skogen: tretåig hackspett (NT, §4).</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rPr>
          <w:b/>
        </w:rPr>
        <w:t>Knärot (VU, §8)</w:t>
      </w:r>
      <w:r>
        <w:t xml:space="preserve"> är rödlistad som sårbar (VU). För att knärot inte ska ta skada av skogsbruksåtgärder i intilliggande skog krävs buffertzoner på minst 50 meter (Johnson, 2014; Koelmeijer m.fl., 2022; Skogsstyrelsen, 2022). Arten är även känslig för gallring vilket framgår av Skogsstyrelsens egen vägledning för hänsyn till knärot (Skogsstyrelsen, 2022). För rika förekomster av knärot är reservatsbildning eller biotopskydd lämpliga åtgärder för att skydda den (SLU Artdatabanken, 2023).</w:t>
      </w:r>
    </w:p>
    <w:p>
      <w:r>
        <w:t>I det avverkningsanmälda området finns 0 fyndplatser för knärot registrerade på Artportalen. Figur 2 visar gränserna för buffertzoner på 50 m, som behöver lämnas kring fyndplatserna för att knärotslokalerna inte ska försvinna vid en avverkning. Av det avverkningsanmälda området överlappar 0.04 ha med buffertzonerna och får av detta skäl inte avverkas.</w:t>
      </w:r>
    </w:p>
    <w:p>
      <w:pPr>
        <w:pStyle w:val="Caption"/>
      </w:pPr>
      <w:r>
        <w:drawing>
          <wp:inline xmlns:a="http://schemas.openxmlformats.org/drawingml/2006/main" xmlns:pic="http://schemas.openxmlformats.org/drawingml/2006/picture">
            <wp:extent cx="5486400" cy="2982202"/>
            <wp:docPr id="2" name="Picture 2"/>
            <wp:cNvGraphicFramePr>
              <a:graphicFrameLocks noChangeAspect="1"/>
            </wp:cNvGraphicFramePr>
            <a:graphic>
              <a:graphicData uri="http://schemas.openxmlformats.org/drawingml/2006/picture">
                <pic:pic>
                  <pic:nvPicPr>
                    <pic:cNvPr id="0" name="A 42930-2020 karta knärot.png"/>
                    <pic:cNvPicPr/>
                  </pic:nvPicPr>
                  <pic:blipFill>
                    <a:blip r:embed="rId17"/>
                    <a:stretch>
                      <a:fillRect/>
                    </a:stretch>
                  </pic:blipFill>
                  <pic:spPr>
                    <a:xfrm>
                      <a:off x="0" y="0"/>
                      <a:ext cx="5486400" cy="2982202"/>
                    </a:xfrm>
                    <a:prstGeom prst="rect"/>
                  </pic:spPr>
                </pic:pic>
              </a:graphicData>
            </a:graphic>
          </wp:inline>
        </w:drawing>
      </w:r>
    </w:p>
    <w:p>
      <w:pPr>
        <w:pStyle w:val="Caption"/>
      </w:pPr>
      <w:r>
        <w:t>Figur 2. Fyndplatser och buffertzoner för knärot i det avverkningsanmälda området. Endast fyndplatser vars buffertzoner överlappar med det avverkningsanmälda området har tagits med i visualiseringen. Kartans mittpunktskoordinat är N 7219835, E 616204 i SWEREF 99 TM.</w:t>
      </w:r>
    </w:p>
    <w:p>
      <w:pPr>
        <w:pStyle w:val="Caption"/>
      </w:pPr>
    </w:p>
    <w:p>
      <w:r>
        <w:rPr>
          <w:b/>
        </w:rPr>
        <w:t>Tretåig hackspett (NT, §4)</w:t>
      </w:r>
      <w:r>
        <w:t xml:space="preserve"> är rödlistad som nära hotad och ingår i bilaga 1 i EU:s fågeldirektiv. Tretåig hackspett är för sin överlevnad beroende av kontinuerlig tillförsel av äldre döende och död ved, som sker genom naturliga självgallringsprocesser i äldre grannaturskogar och barrblandade naturskogar. Om en skog genom skogsbruk gallras eller glesas ur så upphör och uteblir i stort sett den naturliga självgallringsprocessen för mycket lång tid framöver vilket omöjliggör upprätthållandet av den kontinuerliga ekologiska funktionen i ett område. Det finns studier som visar att naturskogens självgallringsprocess som den tretåiga hackspetten är beroende av, inte kan ersättas med efterlämnad hänsyn i skogsbruket (Imbeau &amp; Desrochers, 2002). Storleken på häckningsreviret varierar med skogstypen, förekomsten av död ved och graden av fragmentering, men är i allmänhet i storleksordningen 25–100 hektar. Vintertid krävs ofta betydligt större områden och det finns studier som antyder att arten behöver minst 100 hektar äldre skog. I områden med låg bonitet kan det behövas över 200 hektar lämpligt habitat för att ett par ska kunna reproducera sig. Områden med dokumenterad permanent förekomst i naturskogsmiljöer har vanligen så stora naturvärden att skogsbruk är olämpligt (Skogsstyrelsen, 2016).</w:t>
      </w:r>
    </w:p>
    <w:p>
      <w:r>
        <w:t>I BILAGA 1 finns mer detaljerad information om ekologi samt krav på livsmiljö hos fridlysta arter.</w:t>
      </w:r>
    </w:p>
    <w:p>
      <w:r>
        <w:br w:type="page"/>
      </w:r>
    </w:p>
    <w:p>
      <w:pPr>
        <w:pStyle w:val="Title"/>
      </w:pPr>
      <w:r>
        <w:t>BILAGA 1 –</w:t>
        <w:br/>
        <w:t>Fridlysta och rödlistade arter</w:t>
      </w:r>
    </w:p>
    <w:p>
      <w:pPr>
        <w:pStyle w:val="Heading1"/>
      </w:pPr>
      <w:r>
        <w:t>Knärot – ekologi samt krav på livsmiljön</w:t>
      </w:r>
    </w:p>
    <w:p>
      <w:r>
        <w:t>Knärot är fridlyst enligt 8 och 15 §§ artskyddsförordningen och klassad som sårbar (VU) enligt rödlistan 2020. Knärot är beroende av hög och jämn luftfuktighet i gamla, ostörda skogsmiljöer och är känslig för snabba förändringar av ljus-/vindförhållanden eller uttorkning. På grund av ett alltför intensivt skogsbruk har den minskat med 40 (25–50) % under de senaste 60 åren och i framtiden bedöms minskningstakten uppgå till 30 (20–40) %. Till följd av att arten har en dokumenterat högre minskningstakt i förhållande till sin generationstid än vad som tidigare varit känt (data från Riksskogstaxeringen) höjdes den till hotkategori sårbar (VU) i rödlistan 2020 (SLU Artdatabanken, 2021).</w:t>
      </w:r>
    </w:p>
    <w:p>
      <w:r>
        <w:t xml:space="preserve">Samuel Johnsons doktorsavhandling </w:t>
      </w:r>
      <w:r>
        <w:rPr>
          <w:i/>
        </w:rPr>
        <w:t>“Retention Forestry as a Conservation Measure for Boreal Forest Ground Vegetation”</w:t>
      </w:r>
      <w:r>
        <w:t xml:space="preserve"> (SLU, Uppsala 2014) visar att det krävs väl tilltagna skyddszoner för att knärotens växtplatser inte ska ta skada av skogsbruksåtgärder i intilliggande områden: </w:t>
      </w:r>
      <w:r>
        <w:rPr>
          <w:i/>
        </w:rPr>
        <w:t xml:space="preserve">“Study III shows that retention patches smaller than 0.5 ha do not lifeboat the sensitive forest herb G. repens, a species that depend on stable microclimatic conditions typical for intact forest stands.” </w:t>
      </w:r>
      <w:r>
        <w:t xml:space="preserve">Vidare </w:t>
      </w:r>
      <w:r>
        <w:rPr>
          <w:i/>
        </w:rPr>
        <w:t>“More sensitive forest species are not lifeboated in retention patches ranging from 0.05 to 0.5 ha (Papers II &amp; III).”</w:t>
      </w:r>
    </w:p>
    <w:p>
      <w:r>
        <w:t xml:space="preserve">Johnsons (2014) rekommendation på minst 50 meters breda skyddszoner runt knärotens växtplatser motsvarar en areal på 0,78 hektar, vilket ligger i linje med andra studier som gjorts på känsliga skogsarter: </w:t>
      </w:r>
      <w:r>
        <w:rPr>
          <w:i/>
        </w:rPr>
        <w:t>“In study III I also show that translocated specimens of G. repens survives well in mature forests at least 50 m from the nearest edge to an open area. Moreover, measures of temperature and humidity show that such distances from an open area is far enough to offer a microclimate that is more stable compared to what present in retention patches of around 0.1 ha. This means that the very centre of a circular patch with radius 50 m (equals a size of 0.78 ha) should offer conditions similar to interior forest and would perhaps be a suitable habitat for G. repens and similar species. Previous studies from both North America and Sweden have also concluded that patches between 0.5 and one ha are sufficient for preserving interior forest vegetation as well as sensitive lichens and bryophytes (de Graaf &amp; Roberts 2009; Halpern et al. 2012; Rudolphi et al. 2014).”</w:t>
      </w:r>
    </w:p>
    <w:p>
      <w:r>
        <w:t>En nyligen publicerad vetenskaplig uppsats av Koelmeijer m.fl. (2022) inkluderar orkidén knärots skyddsbehov. I uppsatsen berörs problemet med uttorkning för växter, bl.a. för knärot, ett problem som blivit accentuerat på grund av den pågående klimatförändringen och torra somrar, t.ex. den exceptionellt torra sommaren 2018. I uppsatsen undersöks områden med tre olika avstånd från kalhyggeskant med avseende på skydd bl.a. för knärot. Det första området har avstånd upp till 20 m från hyggeskant (Strong edge effect), det andra 20–40 m från hyggeskant (Weak edge effect) och det tredje avser större avstånd från hyggeskant, där kanteffekten anses vara försumbar (Interior). Ett resultat var att man fann stor eller mycket stor uttorkningseffekt på känsliga och rödlistade skogsarter vid de kortare avstånden till hyggeskant, medan effekt av uttorkning inte konstaterades på större avstånd (Interior). För orkidén knärot fann man en rik förekomst (upp till 0,06 dm2/m2) på stort avstånd från hyggeskant (Interior), medan förekomsten var liten eller närmast försumbar i de områden som klassificerades som Weak edge effect respektive Strong edge effect. Arbetet påpekar att de allt oftare förekommande torra somrarna ger ytterligare skäl att utöka skyddsavståndet från hyggen till den fuktkrävande arten knärot (Koelmeijer m.fl., 2022).</w:t>
      </w:r>
    </w:p>
    <w:p>
      <w:r>
        <w:t>Även Skogsstyrelsens egen vägledning för hänsyn till knärot ligger i linje med ovanstående forskningsstudier. Av vägledningen framgår det att för med hög sannolikhet kunna bevara befintliga förekomster krävs relativt stora avsättningar av uppvuxen skog med slutet och relativt tätt kronskikt. Som riktlinje kan krävas ett avstånd på 50 meter in från brynet för att vidmakthålla ett fungerande mikroklimat. Detta innebär att fristående hänsynsytor för många arter (kärlväxter, lavar och mossor) kan behöva ha en area överstigande 0,8 hektar (cirkelyta med radien 50 meter = 0,78 hektar) för att bibehålla lokalklimatet. Även ganska små förändringar i form av förändrade ljus- och fuktighetsförhållanden, till exempel till följd av gallring, kan leda till att arten försvinner till följd av konkurrens med mera ljuskrävande och snabbväxande arter (Skogsstyrelsen, 2022).</w:t>
      </w:r>
    </w:p>
    <w:p>
      <w:pPr>
        <w:pStyle w:val="Heading2"/>
      </w:pPr>
      <w:r>
        <w:t>Referenser – knärot</w:t>
      </w:r>
    </w:p>
    <w:p>
      <w:r>
        <w:t xml:space="preserve">de Graaf M &amp; Roberts M.R., 2009. </w:t>
      </w:r>
      <w:r>
        <w:rPr>
          <w:i/>
        </w:rPr>
        <w:t xml:space="preserve">Short-term response of the herbaceous layer within leave patches after harvest. </w:t>
      </w:r>
      <w:r>
        <w:t>Forest Ecology and Management 257, 1014–1025</w:t>
      </w:r>
    </w:p>
    <w:p>
      <w:r>
        <w:t xml:space="preserve">Halpern, C. B., Halaj, J., Evans, S. A., &amp; Dovciak, M., 2012. </w:t>
      </w:r>
      <w:r>
        <w:rPr>
          <w:i/>
        </w:rPr>
        <w:t xml:space="preserve">Level and pattern of overstory retention interact to shape long-term responses of understories to timber harvest. </w:t>
      </w:r>
      <w:r>
        <w:t>Ecological Applications, 22, 2049–2064</w:t>
      </w:r>
    </w:p>
    <w:p>
      <w:r>
        <w:t xml:space="preserve">Koelmeijer, I. A., Ehrlén, J., Jönsson, M., De Frenne, P., Berg, P., Andersson, J., Weibull, H. &amp; Hylander, N. 2022. </w:t>
      </w:r>
      <w:r>
        <w:rPr>
          <w:i/>
        </w:rPr>
        <w:t xml:space="preserve">Interactive effects of drought and edge exposure on old-growth forest understory species. </w:t>
      </w:r>
      <w:r>
        <w:t>Landscape Ecology, 37, sid 1839–1853</w:t>
      </w:r>
    </w:p>
    <w:p>
      <w:r>
        <w:t xml:space="preserve">Rudolphi, J., Jönsson, M. T., &amp; Gustafsson, L., 2014. </w:t>
      </w:r>
      <w:r>
        <w:rPr>
          <w:i/>
        </w:rPr>
        <w:t xml:space="preserve">Biological legacies buffer local species extinction after logging. </w:t>
      </w:r>
      <w:r>
        <w:t>Journal of Applied Ecology. 51, 53–62.</w:t>
      </w:r>
    </w:p>
    <w:p>
      <w:r>
        <w:t xml:space="preserve">Skogsstyrelsen, 2022. </w:t>
      </w:r>
      <w:r>
        <w:rPr>
          <w:i/>
        </w:rPr>
        <w:t xml:space="preserve">Vägledning för hänsyn till knärot. </w:t>
      </w:r>
      <w:r>
        <w:t>https://www.skogsstyrelsen.se/lag-och-tillsyn/artskydd/vagledningar-och-kunskapsstod-artskydd/vagledning-for-hansyn-till-knarot/</w:t>
      </w:r>
    </w:p>
    <w:p>
      <w:r>
        <w:t xml:space="preserve">SLU Artdatabanken, 2021. </w:t>
      </w:r>
      <w:r>
        <w:rPr>
          <w:i/>
        </w:rPr>
        <w:t xml:space="preserve">Artfaktablad. Naturvård – artfakta. </w:t>
      </w:r>
      <w:r>
        <w:t>SLU Artdatabanken, Uppsala</w:t>
      </w:r>
    </w:p>
    <w:p>
      <w:pPr>
        <w:pStyle w:val="Heading1"/>
      </w:pPr>
      <w:r>
        <w:t>Lunglav – ekologi samt krav på livsmiljön</w:t>
      </w:r>
    </w:p>
    <w:p>
      <w:r>
        <w:t>Lunglav (NT) är en av vårt lands främsta signalarter som överallt indikerar gamla lövträd, skogsbestånd med höga naturvärden och ekosystem med lång skoglig kontinuitet. Lokalt kan förekomsten vara mycket riklig men den hittas nästan enbart i gamla och ej slutavverkade skogar. Artens samtliga förekomster bör uppmärksammas från naturvårdssynpunkt, då många lokaler även hyser andra ovanliga och rödlistade arter. Rikliga förekomster bör skyddas med biotopskydd, frivilliga avsättningar eller reservat (SLU Artdatabanken, 2024; Nitare &amp; Skogsstyrelsen, 2019).</w:t>
      </w:r>
    </w:p>
    <w:p>
      <w:r>
        <w:t xml:space="preserve">På lunglav kan man sällsynt finna små svarta skivlika bildningar som liknar apothecier men som är en parasitisk svamp, Lunglavsknapp </w:t>
      </w:r>
      <w:r>
        <w:rPr>
          <w:i/>
        </w:rPr>
        <w:t>Plectocarpon lichenum</w:t>
      </w:r>
      <w:r>
        <w:t xml:space="preserve"> (VU). Det finns ytterligare två rödlistade parasiter vilka bara förekommer på lunglav, Skrovelmössing </w:t>
      </w:r>
      <w:r>
        <w:rPr>
          <w:i/>
        </w:rPr>
        <w:t>Dactylospora lobariella</w:t>
      </w:r>
      <w:r>
        <w:t xml:space="preserve"> (rödlistad som Kunskapsbrist DD) och Lunglavshårprick </w:t>
      </w:r>
      <w:r>
        <w:rPr>
          <w:i/>
        </w:rPr>
        <w:t>Niesslia lobariae</w:t>
      </w:r>
      <w:r>
        <w:t xml:space="preserve"> (rödlistad som Kunskapsbrist DD). Skrovelmössing (DD) har små svarta apothecier och bruna, 1-septerade sporer och Lunglavshårprick (DD) har brunhåriga perithecier och färglösa, 1-septerade sporer (SLU Artdatabanken, 2024; Nitare &amp; Skogsstyrelsen, 2019).</w:t>
      </w:r>
    </w:p>
    <w:p>
      <w:pPr>
        <w:pStyle w:val="Heading2"/>
      </w:pPr>
      <w:r>
        <w:t>Referenser – lunglav</w:t>
      </w:r>
    </w:p>
    <w:p>
      <w:r>
        <w:t xml:space="preserve">Nitare, J. och Skogsstyrelsen, 2019. </w:t>
      </w:r>
      <w:r>
        <w:rPr>
          <w:i/>
        </w:rPr>
        <w:t xml:space="preserve">Skyddsvärd skog – Naturvårdsarter och andra kriterier för naturvärdesbedömning. </w:t>
      </w:r>
      <w:r>
        <w:t>Skogsstyrelsen.</w:t>
      </w:r>
    </w:p>
    <w:p>
      <w:r>
        <w:t xml:space="preserve">SLU Artdatabanken, 2024. </w:t>
      </w:r>
      <w:r>
        <w:rPr>
          <w:i/>
        </w:rPr>
        <w:t xml:space="preserve">Artfaktablad. Naturvård – artfakta. </w:t>
      </w:r>
      <w:r>
        <w:t>SLU Artdatabanken, Uppsala.</w:t>
      </w:r>
    </w:p>
    <w:p>
      <w:pPr>
        <w:pStyle w:val="Heading1"/>
      </w:pPr>
      <w:r>
        <w:t>Tretåig hackspett – ekologi samt krav på livsmiljön</w:t>
      </w:r>
    </w:p>
    <w:p>
      <w:r>
        <w:t xml:space="preserve">Tretåig hackspett (NT) är fridlyst enligt §4 Artskyddsförordningen och finns med som prioriterad art i Skogsstyrelsen vägledning för skogsbruket (bilaga 4 till SVL). I vägledningen står bland annat att: </w:t>
      </w:r>
      <w:r>
        <w:rPr>
          <w:i/>
        </w:rPr>
        <w:t xml:space="preserve">“Tretåig hackspett har stora arealkrav och höga krav på sin livsmiljö. Omdaningen av naturskogar till kulturskogar medför en förlust av viktiga miljöer, något som förstärks av ökad fragmentering till följd av avverkningar.” </w:t>
      </w:r>
      <w:r>
        <w:t xml:space="preserve">Vidare att: </w:t>
      </w:r>
      <w:r>
        <w:rPr>
          <w:i/>
        </w:rPr>
        <w:t>“Områden med dokumenterad permanent förekomst i naturskogsmiljöer har vanligen så stora naturvärden att skogsbruk är olämpligt”.</w:t>
      </w:r>
    </w:p>
    <w:p>
      <w:r>
        <w:t>Tretåig hackspett är beroende av större sammanhängande naturskogar med kontinuerlig tillgång och nybildning av död ved och fragmentering av livsmiljöerna utgör ett stort hot mot arten (se exempelvis Stachura-Skierczynska et al., 2009; Wesolowski et al., 2005; Butler et al., 2004; Pakkala et al., 2002; Amcoff et al., 1996; Virkkala, 1991). Det finns studier som visar att naturskogens självgallringsprocess som den tretåiga hackspetten är beroende av, inte kan ersättas med efterlämnad hänsyn i skogsbruket (Imbeau &amp; Desrochers, 2002).</w:t>
      </w:r>
    </w:p>
    <w:p>
      <w:r>
        <w:t>Permanenta revir av tretåig hackspett karaktäriseras ofta av artens typiska ringformigt ordnade hackmärken på framför allt gamla granar. För att säkerställa att inte revir av tretåig hackspett drabbas av avverkningsplanerna bör en inventering göras i området både under häckningstid och under vintern, då arten utnyttjar betydligt större områden än under sommarens häckningsrevir. Storleken på häckningsreviret varierar med skogstypen, förekomsten av död ved och graden av fragmentering, men är i allmänhet i storleksordningen 25–100 hektar.</w:t>
      </w:r>
    </w:p>
    <w:p>
      <w:r>
        <w:t>Förutom fridlysning enligt §4 Artskyddsförordningen är tretåig hackspett även förtecknad i EU:s fågeldirektiv bilaga 1. Den ingår också i Natura 2000 och är förtecknad i Bernkonventionen bilaga II (strikt skyddade djurarter).</w:t>
      </w:r>
    </w:p>
    <w:p>
      <w:pPr>
        <w:pStyle w:val="Heading2"/>
      </w:pPr>
      <w:r>
        <w:t>Referenser – tretåig hackspett</w:t>
      </w:r>
    </w:p>
    <w:p>
      <w:r>
        <w:t xml:space="preserve">Amcoff, M. &amp; Eriksson, P. 1996. </w:t>
      </w:r>
      <w:r>
        <w:rPr>
          <w:i/>
        </w:rPr>
        <w:t xml:space="preserve">Förekomst av tretåig hackspett Picoides tridactylus på bestånds- och landskapsnivå. </w:t>
      </w:r>
      <w:r>
        <w:t>Ornis Svecica 6: 107–119</w:t>
      </w:r>
    </w:p>
    <w:p>
      <w:r>
        <w:t xml:space="preserve">Butler, R., Angelstam, P., Ekelund, P. &amp; Schlaeffer, R. 2004. </w:t>
      </w:r>
      <w:r>
        <w:rPr>
          <w:i/>
        </w:rPr>
        <w:t xml:space="preserve">Dead wood threshold values for the three-toed woodpecker presence in boreal and sub-Alpine forest. </w:t>
      </w:r>
      <w:r>
        <w:t>Biological conservation 119(3): 305–318</w:t>
      </w:r>
    </w:p>
    <w:p>
      <w:r>
        <w:t xml:space="preserve">Imbeau, L. &amp; Desrochers, A. 2002. </w:t>
      </w:r>
      <w:r>
        <w:rPr>
          <w:i/>
        </w:rPr>
        <w:t xml:space="preserve">Foraging Ecology and Use of Drumming Trees by Three-Toed Woodpeckers. </w:t>
      </w:r>
      <w:r>
        <w:t>The Journal of Wildlife Management. Vol. 66, No. 1 (Jan., 2002), pp. 222–231.</w:t>
      </w:r>
    </w:p>
    <w:p>
      <w:r>
        <w:t xml:space="preserve">Pakkala, T., Hanski, I. &amp; Tomppo, E. 2002. </w:t>
      </w:r>
      <w:r>
        <w:rPr>
          <w:i/>
        </w:rPr>
        <w:t xml:space="preserve">Spatial ecology of the three-toed woodpecker in managed forest landscapes. </w:t>
      </w:r>
      <w:r>
        <w:t>Silva Fennica 36(1): 279–288.</w:t>
      </w:r>
    </w:p>
    <w:p>
      <w:r>
        <w:t xml:space="preserve">Skogsstyrelsen, 2016. </w:t>
      </w:r>
      <w:r>
        <w:rPr>
          <w:i/>
        </w:rPr>
        <w:t xml:space="preserve">Vägledning för hänsyn till fåglar – Tretåig hackspett. </w:t>
      </w:r>
      <w:r>
        <w:t>www.skogsstyrelsen.se</w:t>
      </w:r>
    </w:p>
    <w:p>
      <w:r>
        <w:t xml:space="preserve">Stachura-Skierczynska, K., Tumiel, T. &amp; Skierczynski, M. 2009. </w:t>
      </w:r>
      <w:r>
        <w:rPr>
          <w:i/>
        </w:rPr>
        <w:t xml:space="preserve">Habitat prediction model for three-toed woodpecker and its implications for the conservation of biologically valuable forests. </w:t>
      </w:r>
      <w:r>
        <w:t>Forest Ecology and Management 258(5): 697–703.</w:t>
      </w:r>
    </w:p>
    <w:p>
      <w:r>
        <w:t xml:space="preserve">Virkkala, R. 1991. </w:t>
      </w:r>
      <w:r>
        <w:rPr>
          <w:i/>
        </w:rPr>
        <w:t xml:space="preserve">Population trends of forest birds in a Finnish Lapland landscape of large habitat blocks – Consequences of stochastic environmental variation or regional habitat alteration. </w:t>
      </w:r>
      <w:r>
        <w:t>Biological conservation 56(2): 223–240</w:t>
      </w:r>
    </w:p>
    <w:p>
      <w:r>
        <w:t xml:space="preserve">Wesolowski, T., Czeszczewik, D. &amp; Rowinski, P. 2005. </w:t>
      </w:r>
      <w:r>
        <w:rPr>
          <w:i/>
        </w:rPr>
        <w:t xml:space="preserve">Effects of forest management on Three-toed Woodpecker Picoides tridactylus distribution in the Bialowieza Forest (NE Poland): conservation implications. </w:t>
      </w:r>
      <w:r>
        <w:t>Acta Ornithologica 40(1): 53–60.</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2025-07-05</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 Id="rId17" Type="http://schemas.openxmlformats.org/officeDocument/2006/relationships/image" Target="media/image2.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