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1339-2025 i Sorsele kommun</w:t>
      </w:r>
    </w:p>
    <w:p>
      <w:r>
        <w:t>Denna tillsynsbegäran behandlar höga naturvärden i avverkningsanmälan A 1339-2025 i Sorsele kommun som inkom 2025-01-10 och omfattar 22,3 ha.</w:t>
      </w:r>
    </w:p>
    <w:p>
      <w:pPr>
        <w:pStyle w:val="Caption"/>
      </w:pPr>
      <w:r>
        <w:drawing>
          <wp:inline xmlns:a="http://schemas.openxmlformats.org/drawingml/2006/main" xmlns:pic="http://schemas.openxmlformats.org/drawingml/2006/picture">
            <wp:extent cx="5486400" cy="5437381"/>
            <wp:docPr id="1" name="Picture 1"/>
            <wp:cNvGraphicFramePr>
              <a:graphicFrameLocks noChangeAspect="1"/>
            </wp:cNvGraphicFramePr>
            <a:graphic>
              <a:graphicData uri="http://schemas.openxmlformats.org/drawingml/2006/picture">
                <pic:pic>
                  <pic:nvPicPr>
                    <pic:cNvPr id="0" name="A 1339-2025 karta.png"/>
                    <pic:cNvPicPr/>
                  </pic:nvPicPr>
                  <pic:blipFill>
                    <a:blip r:embed="rId16"/>
                    <a:stretch>
                      <a:fillRect/>
                    </a:stretch>
                  </pic:blipFill>
                  <pic:spPr>
                    <a:xfrm>
                      <a:off x="0" y="0"/>
                      <a:ext cx="5486400" cy="543738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7305934, E 563312 i SWEREF 99 TM.</w:t>
      </w:r>
    </w:p>
    <w:p>
      <w:r>
        <w:t>I och inom 7 meter från avverkningsanmälan finns fynd av 10 naturvårdsarter, varav 10 är rödlistade och 7 är typiska (T): garnlav (VU, T), tajgaskinn (VU), harticka (NT, T), knottrig blåslav (NT, T), kolflarnlav (NT, T), nordtagging (NT), rosenticka (NT, T), vedskivlav (NT, T), violmussling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knottrig blåslav (NT, T), kolflarnlav (NT, T), rosenticka (NT, T), vedskivlav (NT, T) och violmussling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