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36344-2020 i Sorsele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