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19470-2022 i Sorsele kommun</w:t>
      </w:r>
    </w:p>
    <w:p>
      <w:r>
        <w:t>Detta klagomål behandlar höga naturvärden i avverkningsanmälan A 19470-2022 i Sorsele kommun som inkom 2022-05-12 och omfattar 64,4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19470-2022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7325390, E 554593 i SWEREF 99 TM.</w:t>
      </w:r>
    </w:p>
    <w:p>
      <w:r>
        <w:t>I och inom 9 meter från avverkningsanmälan finns fynd av 30 naturvårdsarter, varav 18 är rödlistade, 7 är fridlysta, 20 är typiska (T) och 7 är signalarter (S): lusporing (EN), urskogsporing (EN), gräddporing (VU, T), blanksvart spiklav (NT), blågrå svartspik (NT), brunpudrad nållav (NT, T), dvärgbägarlav (NT, T), knottrig blåslav (NT, T), kolflarnlav (NT, T), mörk kolflarnlav (NT), nordtagging (NT), rödbrun blekspik (NT, T), skrovellav (NT, T), skuggblåslav (NT, T), tretåig hackspett (NT, T, §4), vedflamlav (NT), vedskivlav (NT, T), vitplätt (NT), bårdlav (S, T), kornig nållav (S, T), norrlandslav (S, T), nästlav (S, T), plattlummer (S, T, §9), stuplav (S, T), vedticka (S, T), järpe (T, §4), spillkråka (T, §4), tjäder (T, §4), havsörn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Lusporing (EN)</w:t>
      </w:r>
      <w:r>
        <w:t xml:space="preserve"> är en sällsynt och starkt hotad art knuten till äldre tallnaturskog med en god kontinuitet av torr död tallved. Uppmärksammades först 2007 i Sverige och är idag känd från en handfull tallmiljöer framförallt i Västerbotten och Norrbotten. Total population i landet liten och bedöms fortlöpande att minska, huvudsakligen p.g.a. minskande förekomst av stående döda tallar, men även liggande stammar av tall i solvarma lägen (SLU Artdatabanken, 2025).</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